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rPr>
          <w:rFonts w:eastAsia="Arial Bold" w:cs="Arial"/>
          <w:bCs/>
          <w:sz w:val="24"/>
          <w:lang w:eastAsia="zh-CN"/>
        </w:rPr>
      </w:pPr>
      <w:bookmarkStart w:id="0" w:name="OLE_LINK2"/>
      <w:bookmarkStart w:id="1" w:name="OLE_LINK1"/>
      <w:r>
        <w:rPr>
          <w:rFonts w:eastAsia="Arial Bold" w:cs="Arial"/>
          <w:bCs/>
          <w:sz w:val="24"/>
          <w:lang w:val="en-GB" w:eastAsia="zh-CN"/>
        </w:rPr>
        <w:t>3GPP TSG-RAN WG2 Meeting</w:t>
      </w:r>
      <w:r>
        <w:rPr>
          <w:rFonts w:eastAsia="宋体" w:cs="Arial"/>
          <w:bCs/>
          <w:sz w:val="24"/>
          <w:lang w:val="en-GB" w:eastAsia="zh-CN"/>
        </w:rPr>
        <w:t xml:space="preserve"> #111 electronic</w:t>
      </w:r>
      <w:r>
        <w:rPr>
          <w:rFonts w:eastAsia="Arial Bold" w:cs="Arial"/>
          <w:bCs/>
          <w:sz w:val="24"/>
          <w:lang w:val="en-GB" w:eastAsia="zh-CN"/>
        </w:rPr>
        <w:tab/>
      </w:r>
      <w:r>
        <w:rPr>
          <w:rFonts w:eastAsia="宋体" w:cs="Arial"/>
          <w:bCs/>
          <w:sz w:val="24"/>
          <w:lang w:eastAsia="zh-CN"/>
        </w:rPr>
        <w:t>R2-2007036</w:t>
      </w:r>
    </w:p>
    <w:p>
      <w:pPr>
        <w:pStyle w:val="12"/>
        <w:tabs>
          <w:tab w:val="left" w:pos="1701"/>
          <w:tab w:val="right" w:pos="9923"/>
          <w:tab w:val="clear" w:pos="4536"/>
          <w:tab w:val="clear" w:pos="9072"/>
        </w:tabs>
        <w:rPr>
          <w:rFonts w:eastAsia="宋体" w:cs="Arial"/>
          <w:sz w:val="24"/>
          <w:lang w:eastAsia="zh-CN"/>
        </w:rPr>
      </w:pPr>
      <w:r>
        <w:rPr>
          <w:rFonts w:eastAsia="宋体" w:cs="Arial"/>
          <w:sz w:val="24"/>
          <w:lang w:val="de-DE" w:eastAsia="zh-CN"/>
        </w:rPr>
        <w:t>E-Meeting,17</w:t>
      </w:r>
      <w:r>
        <w:rPr>
          <w:rFonts w:eastAsia="宋体" w:cs="Arial"/>
          <w:sz w:val="24"/>
          <w:vertAlign w:val="superscript"/>
          <w:lang w:val="de-DE" w:eastAsia="zh-CN"/>
        </w:rPr>
        <w:t>th</w:t>
      </w:r>
      <w:r>
        <w:rPr>
          <w:rFonts w:eastAsia="宋体" w:cs="Arial"/>
          <w:sz w:val="24"/>
          <w:lang w:val="de-DE" w:eastAsia="zh-CN"/>
        </w:rPr>
        <w:t xml:space="preserve"> - 28</w:t>
      </w:r>
      <w:r>
        <w:rPr>
          <w:rFonts w:eastAsia="宋体" w:cs="Arial"/>
          <w:sz w:val="24"/>
          <w:vertAlign w:val="superscript"/>
          <w:lang w:val="de-DE" w:eastAsia="zh-CN"/>
        </w:rPr>
        <w:t>th</w:t>
      </w:r>
      <w:r>
        <w:rPr>
          <w:rFonts w:eastAsia="宋体" w:cs="Arial"/>
          <w:sz w:val="24"/>
          <w:lang w:val="de-DE" w:eastAsia="zh-CN"/>
        </w:rPr>
        <w:t xml:space="preserve"> Aug</w:t>
      </w:r>
      <w:r>
        <w:rPr>
          <w:rFonts w:hint="eastAsia" w:eastAsia="宋体" w:cs="Arial"/>
          <w:sz w:val="24"/>
          <w:lang w:val="en-US" w:eastAsia="zh-CN"/>
        </w:rPr>
        <w:t>.</w:t>
      </w:r>
      <w:r>
        <w:rPr>
          <w:rFonts w:eastAsia="宋体" w:cs="Arial"/>
          <w:sz w:val="24"/>
          <w:lang w:val="de-DE" w:eastAsia="zh-CN"/>
        </w:rPr>
        <w:t xml:space="preserve"> 2020</w:t>
      </w:r>
      <w:r>
        <w:rPr>
          <w:rFonts w:eastAsia="宋体" w:cs="Arial"/>
          <w:sz w:val="24"/>
          <w:lang w:eastAsia="zh-CN"/>
        </w:rPr>
        <w:t xml:space="preserve"> </w:t>
      </w:r>
    </w:p>
    <w:p>
      <w:pPr>
        <w:pStyle w:val="12"/>
        <w:tabs>
          <w:tab w:val="left" w:pos="1701"/>
          <w:tab w:val="right" w:pos="9923"/>
          <w:tab w:val="clear" w:pos="4536"/>
          <w:tab w:val="clear" w:pos="9072"/>
        </w:tabs>
        <w:rPr>
          <w:rFonts w:eastAsia="宋体" w:cs="Arial"/>
          <w:bCs/>
          <w:sz w:val="24"/>
          <w:lang w:eastAsia="zh-CN"/>
        </w:rPr>
      </w:pPr>
      <w:r>
        <w:rPr>
          <w:rFonts w:eastAsia="宋体" w:cs="Arial"/>
          <w:sz w:val="24"/>
          <w:lang w:eastAsia="zh-CN"/>
        </w:rPr>
        <w:t xml:space="preserve">      </w:t>
      </w:r>
      <w:r>
        <w:rPr>
          <w:rFonts w:eastAsia="宋体" w:cs="Arial"/>
          <w:bCs/>
          <w:sz w:val="24"/>
          <w:lang w:val="en-GB" w:eastAsia="zh-CN"/>
        </w:rPr>
        <w:t xml:space="preserve">                 </w:t>
      </w:r>
      <w:bookmarkEnd w:id="0"/>
      <w:bookmarkEnd w:id="1"/>
      <w:r>
        <w:rPr>
          <w:rFonts w:eastAsia="宋体" w:cs="Arial"/>
          <w:bCs/>
          <w:sz w:val="24"/>
          <w:lang w:eastAsia="zh-CN"/>
        </w:rPr>
        <w:t xml:space="preserve">   </w:t>
      </w:r>
    </w:p>
    <w:p>
      <w:pPr>
        <w:pStyle w:val="12"/>
        <w:tabs>
          <w:tab w:val="left" w:pos="1800"/>
          <w:tab w:val="clear" w:pos="4536"/>
        </w:tabs>
        <w:ind w:left="1800" w:hanging="1800"/>
        <w:rPr>
          <w:rFonts w:eastAsia="宋体" w:cs="Arial"/>
          <w:sz w:val="24"/>
          <w:lang w:eastAsia="zh-CN"/>
        </w:rPr>
      </w:pPr>
      <w:r>
        <w:rPr>
          <w:rFonts w:cs="Arial"/>
          <w:sz w:val="24"/>
        </w:rPr>
        <w:t>Source:</w:t>
      </w:r>
      <w:r>
        <w:rPr>
          <w:rFonts w:cs="Arial"/>
          <w:sz w:val="24"/>
        </w:rPr>
        <w:tab/>
      </w:r>
      <w:r>
        <w:rPr>
          <w:rFonts w:eastAsia="宋体" w:cs="Arial"/>
          <w:sz w:val="24"/>
          <w:lang w:eastAsia="zh-CN"/>
        </w:rPr>
        <w:t>vivo</w:t>
      </w:r>
    </w:p>
    <w:p>
      <w:pPr>
        <w:pStyle w:val="12"/>
        <w:tabs>
          <w:tab w:val="left" w:pos="1800"/>
          <w:tab w:val="clear" w:pos="4536"/>
        </w:tabs>
        <w:ind w:left="1961" w:hanging="1961" w:hangingChars="814"/>
        <w:rPr>
          <w:rFonts w:cs="Arial"/>
          <w:sz w:val="24"/>
        </w:rPr>
      </w:pPr>
      <w:r>
        <w:rPr>
          <w:rFonts w:cs="Arial"/>
          <w:sz w:val="24"/>
        </w:rPr>
        <w:t>Title:</w:t>
      </w:r>
      <w:bookmarkStart w:id="2" w:name="Title"/>
      <w:bookmarkEnd w:id="2"/>
      <w:r>
        <w:rPr>
          <w:rFonts w:cs="Arial"/>
          <w:sz w:val="24"/>
        </w:rPr>
        <w:t xml:space="preserve">          Discussion on dynamic control of transmission area for MBS</w:t>
      </w:r>
    </w:p>
    <w:p>
      <w:pPr>
        <w:pStyle w:val="12"/>
        <w:tabs>
          <w:tab w:val="left" w:pos="1800"/>
        </w:tabs>
        <w:rPr>
          <w:rFonts w:eastAsia="宋体" w:cs="Arial"/>
          <w:sz w:val="24"/>
          <w:lang w:eastAsia="zh-CN"/>
        </w:rPr>
      </w:pPr>
      <w:r>
        <w:rPr>
          <w:rFonts w:cs="Arial"/>
          <w:sz w:val="24"/>
        </w:rPr>
        <w:t>Agenda Item:</w:t>
      </w:r>
      <w:bookmarkStart w:id="3" w:name="Source"/>
      <w:bookmarkEnd w:id="3"/>
      <w:r>
        <w:rPr>
          <w:rFonts w:cs="Arial"/>
          <w:sz w:val="24"/>
        </w:rPr>
        <w:tab/>
      </w:r>
      <w:r>
        <w:rPr>
          <w:rFonts w:eastAsia="宋体" w:cs="Arial"/>
          <w:sz w:val="24"/>
          <w:lang w:eastAsia="zh-CN"/>
        </w:rPr>
        <w:t>8.1.2.3</w:t>
      </w:r>
    </w:p>
    <w:p>
      <w:pPr>
        <w:pStyle w:val="12"/>
        <w:tabs>
          <w:tab w:val="left" w:pos="1800"/>
        </w:tabs>
        <w:rPr>
          <w:rFonts w:eastAsia="宋体" w:cs="Arial"/>
          <w:sz w:val="24"/>
          <w:lang w:eastAsia="zh-CN"/>
        </w:rPr>
      </w:pPr>
      <w:r>
        <w:rPr>
          <w:rFonts w:cs="Arial"/>
          <w:sz w:val="24"/>
        </w:rPr>
        <w:t>Document for:</w:t>
      </w:r>
      <w:r>
        <w:rPr>
          <w:rFonts w:cs="Arial"/>
          <w:sz w:val="24"/>
        </w:rPr>
        <w:tab/>
      </w:r>
      <w:bookmarkStart w:id="4" w:name="DocumentFor"/>
      <w:bookmarkEnd w:id="4"/>
      <w:r>
        <w:rPr>
          <w:rFonts w:cs="Arial"/>
          <w:sz w:val="24"/>
        </w:rPr>
        <w:t>Discussion and Decision</w:t>
      </w:r>
    </w:p>
    <w:p>
      <w:pPr>
        <w:pStyle w:val="2"/>
        <w:keepLines/>
        <w:numPr>
          <w:ilvl w:val="0"/>
          <w:numId w:val="3"/>
        </w:numPr>
        <w:pBdr>
          <w:top w:val="single" w:color="auto" w:sz="12" w:space="3"/>
        </w:pBdr>
        <w:overflowPunct w:val="0"/>
        <w:autoSpaceDE w:val="0"/>
        <w:autoSpaceDN w:val="0"/>
        <w:adjustRightInd w:val="0"/>
        <w:spacing w:before="240" w:after="180"/>
        <w:textAlignment w:val="baseline"/>
        <w:rPr>
          <w:b w:val="0"/>
          <w:bCs w:val="0"/>
          <w:kern w:val="0"/>
          <w:sz w:val="36"/>
          <w:szCs w:val="20"/>
          <w:lang w:val="en-GB" w:eastAsia="en-GB"/>
        </w:rPr>
      </w:pPr>
      <w:bookmarkStart w:id="5" w:name="OLE_LINK14"/>
      <w:bookmarkStart w:id="6" w:name="OLE_LINK13"/>
      <w:r>
        <w:rPr>
          <w:b w:val="0"/>
          <w:bCs w:val="0"/>
          <w:kern w:val="0"/>
          <w:sz w:val="36"/>
          <w:szCs w:val="20"/>
          <w:lang w:val="en-GB" w:eastAsia="en-GB"/>
        </w:rPr>
        <w:t>Introduction</w:t>
      </w:r>
    </w:p>
    <w:p>
      <w:pPr>
        <w:jc w:val="both"/>
        <w:rPr>
          <w:rFonts w:ascii="Times New Roman" w:hAnsi="Times New Roman" w:eastAsia="宋体"/>
          <w:sz w:val="22"/>
          <w:szCs w:val="22"/>
          <w:lang w:eastAsia="zh-CN"/>
        </w:rPr>
      </w:pPr>
      <w:r>
        <w:rPr>
          <w:rFonts w:ascii="Times New Roman" w:hAnsi="Times New Roman" w:eastAsia="宋体"/>
          <w:sz w:val="22"/>
          <w:szCs w:val="22"/>
          <w:lang w:eastAsia="zh-CN"/>
        </w:rPr>
        <w:t xml:space="preserve">A new WID[1] had been agreed in RAN#88e for study on NR MBS, which has the following objectives: </w:t>
      </w:r>
    </w:p>
    <w:p>
      <w:pPr>
        <w:numPr>
          <w:ilvl w:val="0"/>
          <w:numId w:val="4"/>
        </w:numPr>
        <w:overflowPunct w:val="0"/>
        <w:autoSpaceDE w:val="0"/>
        <w:autoSpaceDN w:val="0"/>
        <w:adjustRightInd w:val="0"/>
        <w:spacing w:after="180"/>
        <w:ind w:right="-99"/>
        <w:textAlignment w:val="baseline"/>
        <w:rPr>
          <w:rFonts w:ascii="Arial" w:hAnsi="Arial" w:cs="Arial"/>
          <w:i/>
          <w:color w:val="000000"/>
        </w:rPr>
      </w:pPr>
      <w:r>
        <w:rPr>
          <w:rFonts w:ascii="Arial" w:hAnsi="Arial" w:cs="Arial"/>
          <w:i/>
          <w:color w:val="000000"/>
        </w:rPr>
        <w:t xml:space="preserve">Specify RAN basic functions for broadcast/multicast </w:t>
      </w:r>
      <w:r>
        <w:rPr>
          <w:rFonts w:ascii="Arial" w:hAnsi="Arial" w:cs="Arial"/>
          <w:i/>
          <w:color w:val="000000"/>
          <w:lang w:eastAsia="zh-CN"/>
        </w:rPr>
        <w:t>for UEs in RRC_CONNECTED state</w:t>
      </w:r>
      <w:r>
        <w:rPr>
          <w:rFonts w:ascii="Arial" w:hAnsi="Arial" w:cs="Arial"/>
          <w:i/>
          <w:color w:val="000000"/>
        </w:rPr>
        <w:t xml:space="preserve"> [RAN1, RAN2, RAN3]:</w:t>
      </w:r>
    </w:p>
    <w:p>
      <w:pPr>
        <w:numPr>
          <w:ilvl w:val="1"/>
          <w:numId w:val="4"/>
        </w:numPr>
        <w:overflowPunct w:val="0"/>
        <w:autoSpaceDE w:val="0"/>
        <w:autoSpaceDN w:val="0"/>
        <w:adjustRightInd w:val="0"/>
        <w:spacing w:after="180"/>
        <w:ind w:right="-99"/>
        <w:textAlignment w:val="baseline"/>
        <w:rPr>
          <w:rFonts w:ascii="Arial" w:hAnsi="Arial" w:cs="Arial"/>
          <w:i/>
          <w:color w:val="000000"/>
        </w:rPr>
      </w:pPr>
      <w:r>
        <w:rPr>
          <w:rFonts w:ascii="Arial" w:hAnsi="Arial" w:cs="Arial"/>
          <w:i/>
          <w:color w:val="000000"/>
          <w:lang w:eastAsia="zh-CN"/>
        </w:rPr>
        <w:t>Specify a</w:t>
      </w:r>
      <w:r>
        <w:rPr>
          <w:rFonts w:ascii="Arial" w:hAnsi="Arial" w:cs="Arial"/>
          <w:i/>
          <w:color w:val="000000"/>
        </w:rPr>
        <w:t xml:space="preserve"> group scheduling mechanism to allow UEs to receive Broadcast/Multicast service [RAN1</w:t>
      </w:r>
      <w:r>
        <w:rPr>
          <w:rFonts w:ascii="Arial" w:hAnsi="Arial" w:cs="Arial"/>
          <w:i/>
          <w:color w:val="000000"/>
          <w:lang w:eastAsia="zh-CN"/>
        </w:rPr>
        <w:t>, RAN2</w:t>
      </w:r>
      <w:r>
        <w:rPr>
          <w:rFonts w:ascii="Arial" w:hAnsi="Arial" w:cs="Arial"/>
          <w:i/>
          <w:color w:val="000000"/>
        </w:rPr>
        <w:t>]</w:t>
      </w:r>
    </w:p>
    <w:p>
      <w:pPr>
        <w:numPr>
          <w:ilvl w:val="2"/>
          <w:numId w:val="4"/>
        </w:numPr>
        <w:overflowPunct w:val="0"/>
        <w:autoSpaceDE w:val="0"/>
        <w:autoSpaceDN w:val="0"/>
        <w:adjustRightInd w:val="0"/>
        <w:spacing w:after="180"/>
        <w:ind w:right="-99"/>
        <w:textAlignment w:val="baseline"/>
        <w:rPr>
          <w:rFonts w:ascii="Arial" w:hAnsi="Arial" w:cs="Arial"/>
          <w:i/>
          <w:color w:val="000000"/>
        </w:rPr>
      </w:pPr>
      <w:r>
        <w:rPr>
          <w:rFonts w:ascii="Arial" w:hAnsi="Arial" w:cs="Arial"/>
          <w:i/>
          <w:color w:val="000000"/>
        </w:rPr>
        <w:t>This objective includes specifying necessary enhancements that are required to enable simultaneous operation with unicast reception.</w:t>
      </w:r>
    </w:p>
    <w:p>
      <w:pPr>
        <w:numPr>
          <w:ilvl w:val="1"/>
          <w:numId w:val="4"/>
        </w:numPr>
        <w:overflowPunct w:val="0"/>
        <w:autoSpaceDE w:val="0"/>
        <w:autoSpaceDN w:val="0"/>
        <w:spacing w:after="120"/>
        <w:rPr>
          <w:rFonts w:ascii="Arial" w:hAnsi="Arial" w:cs="Arial"/>
          <w:i/>
          <w:color w:val="000000"/>
          <w:lang w:eastAsia="zh-CN"/>
        </w:rPr>
      </w:pPr>
      <w:r>
        <w:rPr>
          <w:rFonts w:ascii="Arial" w:hAnsi="Arial" w:cs="Arial"/>
          <w:i/>
          <w:color w:val="000000"/>
        </w:rPr>
        <w:t>Specify support for dynamic change of Broadcast/Multicast service delivery between multicast (PTM) and unicast (PTP) with service continuity for a given UE [RAN2, RAN3]</w:t>
      </w:r>
    </w:p>
    <w:p>
      <w:pPr>
        <w:numPr>
          <w:ilvl w:val="1"/>
          <w:numId w:val="4"/>
        </w:numPr>
        <w:overflowPunct w:val="0"/>
        <w:autoSpaceDE w:val="0"/>
        <w:autoSpaceDN w:val="0"/>
        <w:spacing w:after="120"/>
        <w:rPr>
          <w:rFonts w:ascii="Arial" w:hAnsi="Arial" w:cs="Arial"/>
          <w:i/>
          <w:color w:val="000000"/>
        </w:rPr>
      </w:pPr>
      <w:r>
        <w:rPr>
          <w:rFonts w:ascii="Arial" w:hAnsi="Arial" w:cs="Arial"/>
          <w:i/>
          <w:color w:val="000000"/>
        </w:rPr>
        <w:t>Specify support for basic mobility with service continuity [RAN2, RAN3]</w:t>
      </w:r>
    </w:p>
    <w:p>
      <w:pPr>
        <w:numPr>
          <w:ilvl w:val="1"/>
          <w:numId w:val="4"/>
        </w:numPr>
        <w:overflowPunct w:val="0"/>
        <w:autoSpaceDE w:val="0"/>
        <w:autoSpaceDN w:val="0"/>
        <w:adjustRightInd w:val="0"/>
        <w:spacing w:after="180"/>
        <w:textAlignment w:val="baseline"/>
        <w:rPr>
          <w:rFonts w:ascii="Arial" w:hAnsi="Arial" w:cs="Arial"/>
          <w:i/>
          <w:color w:val="000000"/>
          <w:lang w:eastAsia="zh-CN"/>
        </w:rPr>
      </w:pPr>
      <w:r>
        <w:rPr>
          <w:rFonts w:ascii="Arial" w:hAnsi="Arial" w:cs="Arial"/>
          <w:i/>
          <w:color w:val="000000"/>
          <w:lang w:eastAsia="zh-CN"/>
        </w:rPr>
        <w:t>Assuming that the necessary coordination function (like functions hosted by MCE, if any) resides in the gNB-CU, specify required changes on the RAN architecture and interfaces, considering the results of the SA2 SI on Broadcast/Multicast (</w:t>
      </w:r>
      <w:r>
        <w:rPr>
          <w:rFonts w:ascii="Arial" w:hAnsi="Arial" w:cs="Arial"/>
          <w:i/>
        </w:rPr>
        <w:t>SP-190625</w:t>
      </w:r>
      <w:r>
        <w:rPr>
          <w:rFonts w:ascii="Arial" w:hAnsi="Arial" w:cs="Arial"/>
          <w:i/>
          <w:color w:val="000000"/>
          <w:lang w:eastAsia="zh-CN"/>
        </w:rPr>
        <w:t>) [RAN3]</w:t>
      </w:r>
    </w:p>
    <w:p>
      <w:pPr>
        <w:numPr>
          <w:ilvl w:val="1"/>
          <w:numId w:val="4"/>
        </w:numPr>
        <w:overflowPunct w:val="0"/>
        <w:autoSpaceDE w:val="0"/>
        <w:autoSpaceDN w:val="0"/>
        <w:adjustRightInd w:val="0"/>
        <w:spacing w:after="180"/>
        <w:textAlignment w:val="baseline"/>
        <w:rPr>
          <w:rFonts w:ascii="Arial" w:hAnsi="Arial" w:cs="Arial"/>
          <w:i/>
          <w:color w:val="000000"/>
          <w:lang w:eastAsia="zh-CN"/>
        </w:rPr>
      </w:pPr>
      <w:r>
        <w:rPr>
          <w:rFonts w:ascii="Arial" w:hAnsi="Arial" w:cs="Arial"/>
          <w:i/>
          <w:color w:val="000000"/>
          <w:lang w:eastAsia="zh-CN"/>
        </w:rPr>
        <w:t xml:space="preserve">Specify required changes to </w:t>
      </w:r>
      <w:r>
        <w:rPr>
          <w:rFonts w:ascii="Arial" w:hAnsi="Arial" w:cs="Arial"/>
          <w:i/>
          <w:color w:val="000000"/>
        </w:rPr>
        <w:t xml:space="preserve">improve reliability of Broadcast/Multicast service, </w:t>
      </w:r>
      <w:r>
        <w:rPr>
          <w:rFonts w:ascii="Arial" w:hAnsi="Arial" w:cs="Arial"/>
          <w:i/>
          <w:color w:val="000000"/>
          <w:lang w:eastAsia="zh-CN"/>
        </w:rPr>
        <w:t>e.g. by UL feedback. The level of reliability should be based on the requirements of the application/service provided.[RAN1, RAN2]</w:t>
      </w:r>
    </w:p>
    <w:p>
      <w:pPr>
        <w:numPr>
          <w:ilvl w:val="1"/>
          <w:numId w:val="4"/>
        </w:numPr>
        <w:overflowPunct w:val="0"/>
        <w:autoSpaceDE w:val="0"/>
        <w:autoSpaceDN w:val="0"/>
        <w:adjustRightInd w:val="0"/>
        <w:spacing w:after="180"/>
        <w:textAlignment w:val="baseline"/>
        <w:rPr>
          <w:rFonts w:ascii="Arial" w:hAnsi="Arial" w:cs="Arial"/>
          <w:i/>
          <w:color w:val="FF0000"/>
          <w:lang w:eastAsia="zh-CN"/>
        </w:rPr>
      </w:pPr>
      <w:r>
        <w:rPr>
          <w:rFonts w:ascii="Arial" w:hAnsi="Arial" w:cs="Arial"/>
          <w:i/>
          <w:color w:val="FF0000"/>
          <w:lang w:eastAsia="zh-CN"/>
        </w:rPr>
        <w:t xml:space="preserve">Study the support for dynamic </w:t>
      </w:r>
      <w:r>
        <w:rPr>
          <w:rFonts w:ascii="Arial" w:hAnsi="Arial" w:cs="Arial"/>
          <w:i/>
          <w:color w:val="FF0000"/>
        </w:rPr>
        <w:t xml:space="preserve">control of the Broadcast/Multicast transmission area within one gNB-DU and </w:t>
      </w:r>
      <w:r>
        <w:rPr>
          <w:rFonts w:ascii="Arial" w:hAnsi="Arial" w:cs="Arial"/>
          <w:i/>
          <w:color w:val="FF0000"/>
          <w:lang w:eastAsia="zh-CN"/>
        </w:rPr>
        <w:t>specify what is needed to enable it, if anything</w:t>
      </w:r>
      <w:r>
        <w:rPr>
          <w:rFonts w:ascii="Arial" w:hAnsi="Arial" w:cs="Arial"/>
          <w:i/>
          <w:color w:val="FF0000"/>
        </w:rPr>
        <w:t xml:space="preserve"> [RAN2, RAN3]</w:t>
      </w:r>
    </w:p>
    <w:p>
      <w:pPr>
        <w:rPr>
          <w:rFonts w:ascii="Times New Roman" w:hAnsi="Times New Roman" w:eastAsia="宋体"/>
          <w:sz w:val="22"/>
          <w:szCs w:val="22"/>
          <w:lang w:eastAsia="zh-CN"/>
        </w:rPr>
      </w:pPr>
      <w:r>
        <w:rPr>
          <w:rFonts w:ascii="Times New Roman" w:hAnsi="Times New Roman" w:eastAsia="宋体"/>
          <w:sz w:val="22"/>
          <w:szCs w:val="22"/>
          <w:lang w:eastAsia="zh-CN"/>
        </w:rPr>
        <w:t>In this contribution, we aim at analysis and proposals on dynamic control of the transmission area for MBS.</w:t>
      </w:r>
    </w:p>
    <w:p>
      <w:pPr>
        <w:pStyle w:val="2"/>
        <w:keepLines/>
        <w:numPr>
          <w:ilvl w:val="0"/>
          <w:numId w:val="3"/>
        </w:numPr>
        <w:pBdr>
          <w:top w:val="single" w:color="auto" w:sz="12" w:space="3"/>
        </w:pBdr>
        <w:overflowPunct w:val="0"/>
        <w:autoSpaceDE w:val="0"/>
        <w:autoSpaceDN w:val="0"/>
        <w:adjustRightInd w:val="0"/>
        <w:spacing w:before="240" w:after="180"/>
        <w:jc w:val="both"/>
        <w:textAlignment w:val="baseline"/>
        <w:rPr>
          <w:b w:val="0"/>
          <w:bCs w:val="0"/>
          <w:kern w:val="0"/>
          <w:sz w:val="36"/>
          <w:szCs w:val="20"/>
          <w:lang w:val="fr-FR"/>
        </w:rPr>
      </w:pPr>
      <w:r>
        <w:rPr>
          <w:b w:val="0"/>
          <w:bCs w:val="0"/>
          <w:kern w:val="0"/>
          <w:sz w:val="36"/>
          <w:szCs w:val="20"/>
          <w:lang w:val="fr-FR"/>
        </w:rPr>
        <w:t>Discussion</w:t>
      </w:r>
    </w:p>
    <w:p>
      <w:pPr>
        <w:pStyle w:val="9"/>
        <w:spacing w:before="120" w:beforeLines="50" w:after="180"/>
        <w:jc w:val="both"/>
        <w:rPr>
          <w:rFonts w:ascii="Times New Roman" w:hAnsi="Times New Roman"/>
          <w:sz w:val="22"/>
          <w:szCs w:val="22"/>
        </w:rPr>
      </w:pPr>
      <w:r>
        <w:rPr>
          <w:rFonts w:ascii="Times New Roman" w:hAnsi="Times New Roman" w:eastAsiaTheme="minorEastAsia"/>
          <w:sz w:val="22"/>
          <w:szCs w:val="22"/>
          <w:lang w:eastAsia="zh-CN"/>
        </w:rPr>
        <w:t>In[2],</w:t>
      </w:r>
      <w:r>
        <w:rPr>
          <w:rFonts w:ascii="Times New Roman" w:hAnsi="Times New Roman"/>
          <w:sz w:val="22"/>
          <w:szCs w:val="22"/>
        </w:rPr>
        <w:t xml:space="preserve"> from the viewpoint of RAN, (in the case of the shared delivery) two </w:t>
      </w:r>
      <w:r>
        <w:rPr>
          <w:rFonts w:ascii="Times New Roman" w:hAnsi="Times New Roman"/>
          <w:b/>
          <w:sz w:val="22"/>
          <w:szCs w:val="22"/>
        </w:rPr>
        <w:t>delivery methods</w:t>
      </w:r>
      <w:r>
        <w:rPr>
          <w:rFonts w:ascii="Times New Roman" w:hAnsi="Times New Roman"/>
          <w:sz w:val="22"/>
          <w:szCs w:val="22"/>
        </w:rPr>
        <w:t xml:space="preserve"> are available for the transmission of MBS packet flows over the radio:</w:t>
      </w:r>
    </w:p>
    <w:p>
      <w:pPr>
        <w:pStyle w:val="26"/>
        <w:jc w:val="both"/>
        <w:rPr>
          <w:rFonts w:hint="default" w:eastAsia="MS Mincho"/>
          <w:sz w:val="22"/>
          <w:szCs w:val="22"/>
        </w:rPr>
      </w:pPr>
      <w:r>
        <w:rPr>
          <w:rFonts w:hint="default"/>
          <w:sz w:val="22"/>
          <w:szCs w:val="22"/>
        </w:rPr>
        <w:t>-</w:t>
      </w:r>
      <w:r>
        <w:rPr>
          <w:rFonts w:hint="default"/>
          <w:sz w:val="22"/>
          <w:szCs w:val="22"/>
        </w:rPr>
        <w:tab/>
      </w:r>
      <w:r>
        <w:rPr>
          <w:rFonts w:hint="default"/>
          <w:sz w:val="22"/>
          <w:szCs w:val="22"/>
        </w:rPr>
        <w:t>Point-to-Point (PTP) delivery method:</w:t>
      </w:r>
      <w:r>
        <w:rPr>
          <w:rFonts w:hint="default" w:eastAsia="MS Mincho"/>
          <w:sz w:val="22"/>
          <w:szCs w:val="22"/>
        </w:rPr>
        <w:t xml:space="preserve"> a RAN node delivers separate copies of the MBS data packet over the radio to individual UE.</w:t>
      </w:r>
    </w:p>
    <w:p>
      <w:pPr>
        <w:pStyle w:val="26"/>
        <w:jc w:val="both"/>
        <w:rPr>
          <w:rFonts w:hint="default" w:eastAsia="MS Mincho"/>
          <w:sz w:val="22"/>
          <w:szCs w:val="22"/>
        </w:rPr>
      </w:pPr>
      <w:r>
        <w:rPr>
          <w:rFonts w:hint="default"/>
          <w:sz w:val="22"/>
          <w:szCs w:val="22"/>
        </w:rPr>
        <w:t>-</w:t>
      </w:r>
      <w:r>
        <w:rPr>
          <w:rFonts w:hint="default"/>
          <w:sz w:val="22"/>
          <w:szCs w:val="22"/>
        </w:rPr>
        <w:tab/>
      </w:r>
      <w:r>
        <w:rPr>
          <w:rFonts w:hint="default"/>
          <w:sz w:val="22"/>
          <w:szCs w:val="22"/>
        </w:rPr>
        <w:t>Point-to-Multipoint (PTM) delivery method:</w:t>
      </w:r>
      <w:r>
        <w:rPr>
          <w:rFonts w:hint="default" w:eastAsia="MS Mincho"/>
          <w:sz w:val="22"/>
          <w:szCs w:val="22"/>
        </w:rPr>
        <w:t xml:space="preserve"> a RAN node delivers a single copy of MBS data packets over the radio to a set of UEs.</w:t>
      </w:r>
    </w:p>
    <w:p>
      <w:pPr>
        <w:pStyle w:val="26"/>
        <w:ind w:left="0" w:firstLine="0"/>
        <w:rPr>
          <w:rFonts w:hint="default" w:eastAsiaTheme="minorEastAsia"/>
          <w:sz w:val="22"/>
          <w:szCs w:val="22"/>
        </w:rPr>
      </w:pPr>
      <w:r>
        <w:rPr>
          <w:rFonts w:hint="default" w:eastAsiaTheme="minorEastAsia"/>
          <w:sz w:val="22"/>
          <w:szCs w:val="22"/>
        </w:rPr>
        <w:t>There’re three statuses of MBS supporting for Cells which connect to one gNB-DU.</w:t>
      </w:r>
    </w:p>
    <w:p>
      <w:pPr>
        <w:pStyle w:val="26"/>
        <w:numPr>
          <w:ilvl w:val="0"/>
          <w:numId w:val="5"/>
        </w:numPr>
        <w:rPr>
          <w:rFonts w:hint="default" w:eastAsiaTheme="minorEastAsia"/>
          <w:sz w:val="22"/>
          <w:szCs w:val="22"/>
        </w:rPr>
      </w:pPr>
      <w:r>
        <w:rPr>
          <w:rFonts w:hint="default" w:eastAsiaTheme="minorEastAsia"/>
          <w:sz w:val="22"/>
          <w:szCs w:val="22"/>
        </w:rPr>
        <w:t>Support MBS by PTM</w:t>
      </w:r>
    </w:p>
    <w:p>
      <w:pPr>
        <w:pStyle w:val="26"/>
        <w:numPr>
          <w:ilvl w:val="0"/>
          <w:numId w:val="5"/>
        </w:numPr>
        <w:rPr>
          <w:rFonts w:hint="default" w:eastAsiaTheme="minorEastAsia"/>
          <w:sz w:val="22"/>
          <w:szCs w:val="22"/>
        </w:rPr>
      </w:pPr>
      <w:r>
        <w:rPr>
          <w:rFonts w:hint="default" w:eastAsiaTheme="minorEastAsia"/>
          <w:sz w:val="22"/>
          <w:szCs w:val="22"/>
        </w:rPr>
        <w:t>Support MBS by PTP</w:t>
      </w:r>
    </w:p>
    <w:p>
      <w:pPr>
        <w:pStyle w:val="26"/>
        <w:numPr>
          <w:ilvl w:val="0"/>
          <w:numId w:val="5"/>
        </w:numPr>
        <w:rPr>
          <w:rFonts w:hint="default" w:eastAsiaTheme="minorEastAsia"/>
          <w:sz w:val="22"/>
          <w:szCs w:val="22"/>
        </w:rPr>
      </w:pPr>
      <w:r>
        <w:rPr>
          <w:rFonts w:hint="default" w:eastAsiaTheme="minorEastAsia"/>
          <w:sz w:val="22"/>
          <w:szCs w:val="22"/>
        </w:rPr>
        <w:t>Not support MBS</w:t>
      </w:r>
    </w:p>
    <w:p>
      <w:pPr>
        <w:pStyle w:val="26"/>
        <w:ind w:left="0" w:firstLine="0"/>
        <w:jc w:val="both"/>
        <w:rPr>
          <w:rFonts w:hint="default"/>
          <w:sz w:val="22"/>
          <w:szCs w:val="22"/>
        </w:rPr>
      </w:pPr>
      <w:r>
        <w:rPr>
          <w:rFonts w:hint="default" w:eastAsiaTheme="minorEastAsia"/>
          <w:sz w:val="22"/>
          <w:szCs w:val="22"/>
        </w:rPr>
        <w:t>These three statuses are dynamically configured. One cell current supporting PTM is not always supporting PTM.</w:t>
      </w:r>
      <w:r>
        <w:rPr>
          <w:rFonts w:hint="default"/>
          <w:sz w:val="22"/>
          <w:szCs w:val="22"/>
        </w:rPr>
        <w:t xml:space="preserve"> And a RAN node may </w:t>
      </w:r>
      <w:r>
        <w:rPr>
          <w:rFonts w:hint="default" w:eastAsiaTheme="minorEastAsia"/>
          <w:sz w:val="22"/>
          <w:szCs w:val="22"/>
        </w:rPr>
        <w:t>also</w:t>
      </w:r>
      <w:r>
        <w:rPr>
          <w:rFonts w:hint="default"/>
          <w:sz w:val="22"/>
          <w:szCs w:val="22"/>
        </w:rPr>
        <w:t xml:space="preserve"> use a combination of PTP/PTM to deliver an MBS packet to UEs.</w:t>
      </w:r>
    </w:p>
    <w:p>
      <w:pPr>
        <w:pStyle w:val="26"/>
        <w:ind w:left="0" w:firstLine="0"/>
        <w:jc w:val="both"/>
        <w:rPr>
          <w:rFonts w:hint="default" w:eastAsiaTheme="minorEastAsia"/>
        </w:rPr>
      </w:pPr>
      <w:r>
        <w:rPr>
          <w:rFonts w:hint="default" w:eastAsiaTheme="minorEastAsia"/>
          <w:sz w:val="22"/>
          <w:szCs w:val="22"/>
        </w:rPr>
        <w:t>A RAN node deciding whether to configure a cell for broadcast/multicast of MBS service is probably by network capabilities and UE interests.</w:t>
      </w:r>
    </w:p>
    <w:p>
      <w:pPr>
        <w:pStyle w:val="26"/>
        <w:ind w:left="0" w:firstLine="0"/>
        <w:jc w:val="center"/>
        <w:rPr>
          <w:rFonts w:hint="default"/>
        </w:rPr>
      </w:pPr>
      <w:r>
        <w:rPr>
          <w:rFonts w:hint="default"/>
        </w:rPr>
        <w:object>
          <v:shape id="_x0000_i1025" o:spt="75" type="#_x0000_t75" style="height:251.7pt;width:294.9pt;" o:ole="t" filled="f" o:preferrelative="t" stroked="f" coordsize="21600,21600">
            <v:path/>
            <v:fill on="f" focussize="0,0"/>
            <v:stroke on="f" joinstyle="miter"/>
            <v:imagedata r:id="rId6" o:title=""/>
            <o:lock v:ext="edit" aspectratio="t"/>
            <w10:wrap type="none"/>
            <w10:anchorlock/>
          </v:shape>
          <o:OLEObject Type="Embed" ProgID="Visio.Drawing.15" ShapeID="_x0000_i1025" DrawAspect="Content" ObjectID="_1468075725" r:id="rId5">
            <o:LockedField>false</o:LockedField>
          </o:OLEObject>
        </w:object>
      </w:r>
    </w:p>
    <w:p>
      <w:pPr>
        <w:pStyle w:val="8"/>
        <w:rPr>
          <w:rFonts w:eastAsiaTheme="minorEastAsia"/>
        </w:rPr>
      </w:pPr>
      <w:r>
        <w:t xml:space="preserve">Figure </w:t>
      </w:r>
      <w:r>
        <w:fldChar w:fldCharType="begin"/>
      </w:r>
      <w:r>
        <w:instrText xml:space="preserve"> SEQ 图表 \* ARABIC </w:instrText>
      </w:r>
      <w:r>
        <w:fldChar w:fldCharType="separate"/>
      </w:r>
      <w:r>
        <w:t>1</w:t>
      </w:r>
      <w:r>
        <w:fldChar w:fldCharType="end"/>
      </w:r>
      <w:r>
        <w:t xml:space="preserve"> Dynamic control of MBS transmission area</w:t>
      </w:r>
    </w:p>
    <w:p>
      <w:pPr>
        <w:pStyle w:val="9"/>
        <w:spacing w:before="120" w:beforeLines="50" w:after="180"/>
        <w:jc w:val="both"/>
        <w:rPr>
          <w:rFonts w:ascii="Times New Roman" w:hAnsi="Times New Roman"/>
          <w:sz w:val="22"/>
          <w:szCs w:val="22"/>
        </w:rPr>
      </w:pPr>
      <w:r>
        <w:rPr>
          <w:rFonts w:ascii="Times New Roman" w:hAnsi="Times New Roman"/>
          <w:sz w:val="22"/>
          <w:szCs w:val="22"/>
        </w:rPr>
        <w:t>Figure1 shows an example of MBS transmission areas in blue, orange, and gray who are dynamically configured.</w:t>
      </w:r>
    </w:p>
    <w:p>
      <w:pPr>
        <w:pStyle w:val="9"/>
        <w:spacing w:before="120" w:beforeLines="50" w:after="180"/>
        <w:jc w:val="both"/>
        <w:rPr>
          <w:rFonts w:ascii="Times New Roman" w:hAnsi="Times New Roman"/>
          <w:sz w:val="22"/>
          <w:szCs w:val="22"/>
        </w:rPr>
      </w:pPr>
      <w:r>
        <w:rPr>
          <w:rFonts w:ascii="Times New Roman" w:hAnsi="Times New Roman"/>
          <w:sz w:val="22"/>
          <w:szCs w:val="22"/>
        </w:rPr>
        <w:t>MBMSInterestIndication is defined in LTE[3], introduced for EUTRAN to be informed about whether a UE is interested in MBMS service and the priority of interests.</w:t>
      </w:r>
    </w:p>
    <w:p>
      <w:pPr>
        <w:jc w:val="both"/>
        <w:rPr>
          <w:rFonts w:ascii="Times New Roman" w:hAnsi="Times New Roman" w:eastAsia="MS Mincho"/>
          <w:sz w:val="22"/>
          <w:szCs w:val="22"/>
        </w:rPr>
      </w:pPr>
      <w:r>
        <w:rPr>
          <w:rFonts w:ascii="Times New Roman" w:hAnsi="Times New Roman" w:eastAsia="MS Mincho"/>
          <w:sz w:val="22"/>
          <w:szCs w:val="22"/>
        </w:rPr>
        <w:t xml:space="preserve">The UE should send </w:t>
      </w:r>
      <w:r>
        <w:rPr>
          <w:rFonts w:ascii="Times New Roman" w:hAnsi="Times New Roman"/>
          <w:sz w:val="22"/>
          <w:szCs w:val="22"/>
        </w:rPr>
        <w:t>MBMSInterestIndication</w:t>
      </w:r>
      <w:r>
        <w:rPr>
          <w:rFonts w:ascii="Times New Roman" w:hAnsi="Times New Roman" w:eastAsia="MS Mincho"/>
          <w:sz w:val="22"/>
          <w:szCs w:val="22"/>
        </w:rPr>
        <w:t xml:space="preserve"> upon successful connection establishment, upon entering or leaving the service area, upon session start or stop, upon change of interest, upon change of priority between MBMS reception and unicast reception, upon change to a PCell broadcasting SystemInformationBlockType15, upon starting and stopping of MBMS service(s) in receive-only mode, upon change of receive-only mode frequency, bandwidth or subcarrier spacing of MBMS service(s) in a receive-only mode.</w:t>
      </w:r>
    </w:p>
    <w:p>
      <w:pPr>
        <w:pStyle w:val="46"/>
        <w:jc w:val="center"/>
        <w:rPr>
          <w:rFonts w:ascii="Times New Roman" w:hAnsi="Times New Roman" w:cs="Times New Roman"/>
        </w:rPr>
      </w:pPr>
      <w:r>
        <w:rPr>
          <w:rFonts w:ascii="Times New Roman" w:hAnsi="Times New Roman" w:cs="Times New Roman"/>
        </w:rPr>
        <w:drawing>
          <wp:inline distT="0" distB="0" distL="0" distR="0">
            <wp:extent cx="4037330" cy="1509395"/>
            <wp:effectExtent l="0" t="0" r="1270" b="0"/>
            <wp:docPr id="2" name="图片 2" descr="C:\Users\ADMINI~1.VIV\AppData\Local\Temp\ksohtml5988\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ADMINI~1.VIV\AppData\Local\Temp\ksohtml5988\wps1.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4037330" cy="1509395"/>
                    </a:xfrm>
                    <a:prstGeom prst="rect">
                      <a:avLst/>
                    </a:prstGeom>
                    <a:noFill/>
                    <a:ln>
                      <a:noFill/>
                    </a:ln>
                  </pic:spPr>
                </pic:pic>
              </a:graphicData>
            </a:graphic>
          </wp:inline>
        </w:drawing>
      </w:r>
    </w:p>
    <w:p>
      <w:pPr>
        <w:pStyle w:val="8"/>
      </w:pPr>
      <w:r>
        <w:rPr>
          <w:rFonts w:eastAsia="微软雅黑"/>
        </w:rPr>
        <w:t>Figure</w:t>
      </w:r>
      <w:r>
        <w:t xml:space="preserve"> </w:t>
      </w:r>
      <w:r>
        <w:fldChar w:fldCharType="begin"/>
      </w:r>
      <w:r>
        <w:instrText xml:space="preserve"> SEQ 图表 \* ARABIC </w:instrText>
      </w:r>
      <w:r>
        <w:fldChar w:fldCharType="separate"/>
      </w:r>
      <w:r>
        <w:t>2</w:t>
      </w:r>
      <w:r>
        <w:fldChar w:fldCharType="end"/>
      </w:r>
      <w:r>
        <w:t xml:space="preserve"> LTE MBMSIntetestIndication</w:t>
      </w:r>
    </w:p>
    <w:p>
      <w:pPr>
        <w:pStyle w:val="9"/>
        <w:spacing w:before="120" w:beforeLines="50" w:after="180"/>
        <w:rPr>
          <w:rFonts w:ascii="Times New Roman" w:hAnsi="Times New Roman" w:eastAsiaTheme="minorEastAsia"/>
          <w:bCs/>
          <w:sz w:val="22"/>
          <w:szCs w:val="22"/>
          <w:lang w:eastAsia="zh-CN"/>
        </w:rPr>
      </w:pPr>
      <w:r>
        <w:rPr>
          <w:rFonts w:ascii="Times New Roman" w:hAnsi="Times New Roman" w:eastAsiaTheme="minorEastAsia"/>
          <w:bCs/>
          <w:sz w:val="22"/>
          <w:szCs w:val="22"/>
          <w:lang w:eastAsia="zh-CN"/>
        </w:rPr>
        <w:t>We propose gNB can also use MBMSIntestedIndication to collect MBS interests from UE’s reporting.</w:t>
      </w:r>
    </w:p>
    <w:p>
      <w:pPr>
        <w:pStyle w:val="9"/>
        <w:spacing w:before="120" w:beforeLines="50" w:after="180"/>
        <w:rPr>
          <w:rFonts w:ascii="Times New Roman" w:hAnsi="Times New Roman" w:eastAsiaTheme="minorEastAsia"/>
          <w:bCs/>
          <w:sz w:val="22"/>
          <w:szCs w:val="22"/>
          <w:lang w:eastAsia="zh-CN"/>
        </w:rPr>
      </w:pPr>
      <w:r>
        <w:rPr>
          <w:rFonts w:ascii="Times New Roman" w:hAnsi="Times New Roman" w:eastAsiaTheme="minorEastAsia"/>
          <w:bCs/>
          <w:sz w:val="22"/>
          <w:szCs w:val="22"/>
          <w:lang w:eastAsia="zh-CN"/>
        </w:rPr>
        <w:t>In LTE, MBMSIntestedIndication is reported only when a cell broadcasts SIB15.</w:t>
      </w:r>
      <w:r>
        <w:rPr>
          <w:rFonts w:ascii="Times New Roman" w:hAnsi="Times New Roman" w:eastAsiaTheme="minorEastAsia"/>
          <w:bCs/>
          <w:lang w:eastAsia="zh-CN"/>
        </w:rPr>
        <w:t xml:space="preserve"> </w:t>
      </w:r>
      <w:r>
        <w:rPr>
          <w:rFonts w:ascii="Times New Roman" w:hAnsi="Times New Roman" w:eastAsiaTheme="minorEastAsia"/>
          <w:bCs/>
          <w:sz w:val="22"/>
          <w:szCs w:val="22"/>
          <w:lang w:eastAsia="zh-CN"/>
        </w:rPr>
        <w:t>But for gNB who need to dynamically configure MBS service, cells in blue, orange, and gray(Figure 1) all need to collect UE interests to decide which cell at the real-time broadcast/multicast MBS service by which delivery methods.</w:t>
      </w:r>
    </w:p>
    <w:p>
      <w:pPr>
        <w:pStyle w:val="9"/>
        <w:spacing w:before="120" w:beforeLines="50" w:after="180"/>
        <w:rPr>
          <w:rFonts w:ascii="Times New Roman" w:hAnsi="Times New Roman" w:eastAsiaTheme="minorEastAsia"/>
          <w:b/>
          <w:bCs/>
          <w:sz w:val="22"/>
          <w:szCs w:val="22"/>
          <w:lang w:eastAsia="zh-CN"/>
        </w:rPr>
      </w:pPr>
      <w:r>
        <w:rPr>
          <w:rFonts w:ascii="Times New Roman" w:hAnsi="Times New Roman" w:eastAsiaTheme="minorEastAsia"/>
          <w:b/>
          <w:bCs/>
          <w:sz w:val="22"/>
          <w:szCs w:val="22"/>
          <w:lang w:eastAsia="zh-CN"/>
        </w:rPr>
        <w:t>Observation 1: To configure a cell to provide the MBS service, the network should be able to collect the UE interest from the cell not providing the MBS service.</w:t>
      </w:r>
    </w:p>
    <w:p>
      <w:pPr>
        <w:pStyle w:val="9"/>
        <w:spacing w:before="120" w:beforeLines="50" w:after="180"/>
        <w:rPr>
          <w:rFonts w:ascii="Times New Roman" w:hAnsi="Times New Roman" w:eastAsiaTheme="minorEastAsia"/>
          <w:bCs/>
          <w:sz w:val="22"/>
          <w:szCs w:val="22"/>
          <w:lang w:eastAsia="zh-CN"/>
        </w:rPr>
      </w:pPr>
      <w:r>
        <w:rPr>
          <w:rFonts w:ascii="Times New Roman" w:hAnsi="Times New Roman" w:eastAsiaTheme="minorEastAsia"/>
          <w:bCs/>
          <w:sz w:val="22"/>
          <w:szCs w:val="22"/>
          <w:lang w:eastAsia="zh-CN"/>
        </w:rPr>
        <w:t>After collecting all the UE’s interests, based on the UE positioning, gNB can decide which cell broadcasts MBS if UE numbers of indicating interest are high in this area and which cell supports MBS by unicast. If there’s no UE in this area indicating interest for MBS, gNB may decide not to configure MBS in this cell.</w:t>
      </w:r>
    </w:p>
    <w:p>
      <w:pPr>
        <w:pStyle w:val="9"/>
        <w:spacing w:before="120" w:beforeLines="50" w:after="180"/>
        <w:rPr>
          <w:rFonts w:ascii="Times New Roman" w:hAnsi="Times New Roman" w:eastAsiaTheme="minorEastAsia"/>
          <w:bCs/>
          <w:sz w:val="22"/>
          <w:szCs w:val="22"/>
          <w:lang w:eastAsia="zh-CN"/>
        </w:rPr>
      </w:pPr>
      <w:bookmarkStart w:id="7" w:name="_GoBack"/>
      <w:r>
        <w:rPr>
          <w:rFonts w:ascii="Times New Roman" w:hAnsi="Times New Roman" w:eastAsiaTheme="minorEastAsia"/>
          <w:bCs/>
          <w:sz w:val="22"/>
          <w:szCs w:val="22"/>
          <w:lang w:eastAsia="zh-CN"/>
        </w:rPr>
        <w:t>In gNB, the MBMSInterests can be counted periodically. But UE may report its interest whenever entering a new cell or its interest changed regardless of the cell broadcast supporting MBS or not. In this case, a cell not providing the MBS service should be able to collect the UE interest of MBS service.</w:t>
      </w:r>
    </w:p>
    <w:bookmarkEnd w:id="7"/>
    <w:p>
      <w:pPr>
        <w:pStyle w:val="9"/>
        <w:spacing w:before="120" w:beforeLines="50" w:after="180"/>
        <w:rPr>
          <w:rFonts w:ascii="Times New Roman" w:hAnsi="Times New Roman" w:eastAsiaTheme="minorEastAsia"/>
          <w:b/>
          <w:bCs/>
          <w:sz w:val="22"/>
          <w:szCs w:val="22"/>
          <w:lang w:eastAsia="zh-CN"/>
        </w:rPr>
      </w:pPr>
      <w:r>
        <w:rPr>
          <w:rFonts w:ascii="Times New Roman" w:hAnsi="Times New Roman" w:eastAsiaTheme="minorEastAsia"/>
          <w:b/>
          <w:bCs/>
          <w:sz w:val="22"/>
          <w:szCs w:val="22"/>
          <w:lang w:eastAsia="zh-CN"/>
        </w:rPr>
        <w:t>Proposal 1: The cell not providing the MBS service can collect the UE interest of MBS service.</w:t>
      </w:r>
    </w:p>
    <w:p>
      <w:pPr>
        <w:pStyle w:val="2"/>
        <w:keepLines/>
        <w:numPr>
          <w:ilvl w:val="0"/>
          <w:numId w:val="3"/>
        </w:numPr>
        <w:pBdr>
          <w:top w:val="single" w:color="auto" w:sz="12" w:space="3"/>
        </w:pBdr>
        <w:overflowPunct w:val="0"/>
        <w:autoSpaceDE w:val="0"/>
        <w:autoSpaceDN w:val="0"/>
        <w:adjustRightInd w:val="0"/>
        <w:spacing w:before="240" w:after="180"/>
        <w:jc w:val="both"/>
        <w:textAlignment w:val="baseline"/>
        <w:rPr>
          <w:b w:val="0"/>
          <w:bCs w:val="0"/>
          <w:kern w:val="0"/>
          <w:sz w:val="36"/>
          <w:szCs w:val="20"/>
          <w:lang w:val="fr-FR"/>
        </w:rPr>
      </w:pPr>
      <w:r>
        <w:rPr>
          <w:b w:val="0"/>
          <w:bCs w:val="0"/>
          <w:kern w:val="0"/>
          <w:sz w:val="36"/>
          <w:szCs w:val="20"/>
          <w:lang w:val="fr-FR"/>
        </w:rPr>
        <w:t>Conclusion</w:t>
      </w:r>
    </w:p>
    <w:p>
      <w:pPr>
        <w:pStyle w:val="9"/>
        <w:spacing w:before="120" w:beforeLines="50" w:after="180"/>
        <w:rPr>
          <w:rFonts w:ascii="Times New Roman" w:hAnsi="Times New Roman" w:eastAsiaTheme="minorEastAsia"/>
          <w:bCs/>
          <w:sz w:val="22"/>
          <w:szCs w:val="22"/>
          <w:lang w:eastAsia="zh-CN"/>
        </w:rPr>
      </w:pPr>
      <w:r>
        <w:rPr>
          <w:rFonts w:ascii="Times New Roman" w:hAnsi="Times New Roman" w:eastAsiaTheme="minorEastAsia"/>
          <w:bCs/>
          <w:sz w:val="22"/>
          <w:szCs w:val="22"/>
          <w:lang w:eastAsia="zh-CN"/>
        </w:rPr>
        <w:t>Based on the discussion, we observe and propose the followings:</w:t>
      </w:r>
    </w:p>
    <w:p>
      <w:pPr>
        <w:pStyle w:val="9"/>
        <w:spacing w:before="120" w:beforeLines="50" w:after="180"/>
        <w:rPr>
          <w:rFonts w:ascii="Times New Roman" w:hAnsi="Times New Roman" w:eastAsiaTheme="minorEastAsia"/>
          <w:b/>
          <w:bCs/>
          <w:sz w:val="22"/>
          <w:szCs w:val="22"/>
          <w:lang w:eastAsia="zh-CN"/>
        </w:rPr>
      </w:pPr>
      <w:r>
        <w:rPr>
          <w:rFonts w:ascii="Times New Roman" w:hAnsi="Times New Roman" w:eastAsiaTheme="minorEastAsia"/>
          <w:b/>
          <w:bCs/>
          <w:sz w:val="22"/>
          <w:szCs w:val="22"/>
          <w:lang w:eastAsia="zh-CN"/>
        </w:rPr>
        <w:t>Observation 1: To configure a cell to provide the MBS service, the network should be able to collect the UE interest from the cell not providing the MBS service.</w:t>
      </w:r>
    </w:p>
    <w:p>
      <w:pPr>
        <w:pStyle w:val="9"/>
        <w:spacing w:before="120" w:beforeLines="50" w:after="180"/>
        <w:rPr>
          <w:rFonts w:ascii="Times New Roman" w:hAnsi="Times New Roman" w:eastAsiaTheme="minorEastAsia"/>
          <w:b/>
          <w:bCs/>
          <w:sz w:val="22"/>
          <w:szCs w:val="22"/>
          <w:lang w:eastAsia="zh-CN"/>
        </w:rPr>
      </w:pPr>
      <w:r>
        <w:rPr>
          <w:rFonts w:ascii="Times New Roman" w:hAnsi="Times New Roman" w:eastAsiaTheme="minorEastAsia"/>
          <w:b/>
          <w:bCs/>
          <w:sz w:val="22"/>
          <w:szCs w:val="22"/>
          <w:lang w:eastAsia="zh-CN"/>
        </w:rPr>
        <w:t>Proposal 1: The cell not providing the MBS service can collect the UE interest of MBS service.</w:t>
      </w:r>
    </w:p>
    <w:bookmarkEnd w:id="5"/>
    <w:bookmarkEnd w:id="6"/>
    <w:p>
      <w:pPr>
        <w:pStyle w:val="2"/>
        <w:keepLines/>
        <w:numPr>
          <w:ilvl w:val="0"/>
          <w:numId w:val="3"/>
        </w:numPr>
        <w:pBdr>
          <w:top w:val="single" w:color="auto" w:sz="12" w:space="3"/>
        </w:pBdr>
        <w:overflowPunct w:val="0"/>
        <w:autoSpaceDE w:val="0"/>
        <w:autoSpaceDN w:val="0"/>
        <w:adjustRightInd w:val="0"/>
        <w:spacing w:before="240" w:after="180"/>
        <w:jc w:val="both"/>
        <w:textAlignment w:val="baseline"/>
        <w:rPr>
          <w:b w:val="0"/>
          <w:bCs w:val="0"/>
          <w:kern w:val="0"/>
          <w:sz w:val="36"/>
          <w:szCs w:val="20"/>
        </w:rPr>
      </w:pPr>
      <w:r>
        <w:rPr>
          <w:b w:val="0"/>
          <w:bCs w:val="0"/>
          <w:kern w:val="0"/>
          <w:sz w:val="36"/>
          <w:szCs w:val="20"/>
        </w:rPr>
        <w:t>Reference</w:t>
      </w:r>
    </w:p>
    <w:p>
      <w:pPr>
        <w:pStyle w:val="9"/>
        <w:numPr>
          <w:ilvl w:val="0"/>
          <w:numId w:val="6"/>
        </w:numPr>
        <w:rPr>
          <w:rFonts w:ascii="Times New Roman" w:hAnsi="Times New Roman" w:eastAsiaTheme="minorEastAsia"/>
          <w:lang w:val="en-GB" w:eastAsia="zh-CN"/>
        </w:rPr>
      </w:pPr>
      <w:r>
        <w:rPr>
          <w:rFonts w:ascii="Times New Roman" w:hAnsi="Times New Roman" w:eastAsia="宋体"/>
          <w:color w:val="000000"/>
          <w:lang w:eastAsia="zh-CN"/>
        </w:rPr>
        <w:t>RP-201038, WID revision: NR Multicast and Broadcast Services, RAN#88e, Huawei</w:t>
      </w:r>
    </w:p>
    <w:p>
      <w:pPr>
        <w:pStyle w:val="9"/>
        <w:numPr>
          <w:ilvl w:val="0"/>
          <w:numId w:val="6"/>
        </w:numPr>
        <w:snapToGrid w:val="0"/>
        <w:spacing w:line="268" w:lineRule="auto"/>
        <w:contextualSpacing/>
        <w:rPr>
          <w:rFonts w:ascii="Times New Roman" w:hAnsi="Times New Roman" w:eastAsia="宋体"/>
          <w:color w:val="000000"/>
          <w:lang w:eastAsia="zh-CN"/>
        </w:rPr>
      </w:pPr>
      <w:r>
        <w:rPr>
          <w:rFonts w:ascii="Times New Roman" w:hAnsi="Times New Roman" w:eastAsia="宋体"/>
          <w:color w:val="000000"/>
          <w:lang w:eastAsia="zh-CN"/>
        </w:rPr>
        <w:t xml:space="preserve">TR23.757, </w:t>
      </w:r>
      <w:r>
        <w:rPr>
          <w:rFonts w:ascii="Times New Roman" w:hAnsi="Times New Roman"/>
        </w:rPr>
        <w:t>Study on architectural enhancements for 5G multicast-broadcast services (</w:t>
      </w:r>
      <w:r>
        <w:rPr>
          <w:rStyle w:val="42"/>
          <w:rFonts w:ascii="Times New Roman" w:hAnsi="Times New Roman"/>
        </w:rPr>
        <w:t>Release 17</w:t>
      </w:r>
      <w:r>
        <w:rPr>
          <w:rFonts w:ascii="Times New Roman" w:hAnsi="Times New Roman"/>
        </w:rPr>
        <w:t>), v0.4.0, 2020-06;</w:t>
      </w:r>
    </w:p>
    <w:p>
      <w:pPr>
        <w:pStyle w:val="9"/>
        <w:numPr>
          <w:ilvl w:val="0"/>
          <w:numId w:val="6"/>
        </w:numPr>
        <w:rPr>
          <w:rFonts w:ascii="Times New Roman" w:hAnsi="Times New Roman" w:eastAsia="宋体"/>
          <w:color w:val="000000"/>
          <w:lang w:eastAsia="zh-CN"/>
        </w:rPr>
      </w:pPr>
      <w:r>
        <w:rPr>
          <w:rFonts w:ascii="Times New Roman" w:hAnsi="Times New Roman" w:eastAsiaTheme="minorEastAsia"/>
          <w:lang w:val="en-GB" w:eastAsia="zh-CN"/>
        </w:rPr>
        <w:t>TS36.331 “Radio Resource Control (RRC)”, v16.3.0, 2020-03</w:t>
      </w:r>
    </w:p>
    <w:sectPr>
      <w:headerReference r:id="rId3" w:type="default"/>
      <w:pgSz w:w="11906" w:h="16838"/>
      <w:pgMar w:top="284" w:right="1418" w:bottom="1418" w:left="1418" w:header="709" w:footer="709"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楷体_GB2312">
    <w:altName w:val="楷体"/>
    <w:panose1 w:val="00000000000000000000"/>
    <w:charset w:val="86"/>
    <w:family w:val="modern"/>
    <w:pitch w:val="default"/>
    <w:sig w:usb0="00000000" w:usb1="00000000" w:usb2="00000016" w:usb3="00000000" w:csb0="00040001" w:csb1="00000000"/>
  </w:font>
  <w:font w:name="Malgun Gothic">
    <w:panose1 w:val="020B0503020000020004"/>
    <w:charset w:val="81"/>
    <w:family w:val="swiss"/>
    <w:pitch w:val="default"/>
    <w:sig w:usb0="900002AF" w:usb1="01D77CFB" w:usb2="00000012" w:usb3="00000000" w:csb0="00080001" w:csb1="00000000"/>
  </w:font>
  <w:font w:name="Segoe UI">
    <w:panose1 w:val="020B0502040204020203"/>
    <w:charset w:val="00"/>
    <w:family w:val="swiss"/>
    <w:pitch w:val="default"/>
    <w:sig w:usb0="E10022FF" w:usb1="C000E47F" w:usb2="00000029" w:usb3="00000000" w:csb0="200001DF" w:csb1="20000000"/>
  </w:font>
  <w:font w:name="Arial Bold">
    <w:altName w:val="Arial"/>
    <w:panose1 w:val="020B0704020202020204"/>
    <w:charset w:val="00"/>
    <w:family w:val="roman"/>
    <w:pitch w:val="default"/>
    <w:sig w:usb0="00000000" w:usb1="00000000" w:usb2="00000000" w:usb3="00000000" w:csb0="00000000" w:csb1="00000000"/>
  </w:font>
  <w:font w:name="微软雅黑">
    <w:panose1 w:val="020B0503020204020204"/>
    <w:charset w:val="86"/>
    <w:family w:val="swiss"/>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6D50B4"/>
    <w:multiLevelType w:val="multilevel"/>
    <w:tmpl w:val="2E6D50B4"/>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4B31C7B"/>
    <w:multiLevelType w:val="multilevel"/>
    <w:tmpl w:val="54B31C7B"/>
    <w:lvl w:ilvl="0" w:tentative="0">
      <w:start w:val="0"/>
      <w:numFmt w:val="bullet"/>
      <w:lvlText w:val="-"/>
      <w:lvlJc w:val="left"/>
      <w:pPr>
        <w:ind w:left="360" w:hanging="360"/>
      </w:pPr>
      <w:rPr>
        <w:rFonts w:hint="default" w:ascii="Times New Roman" w:hAnsi="Times New Roman" w:eastAsia="MS Mincho" w:cs="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
    <w:nsid w:val="69DF3883"/>
    <w:multiLevelType w:val="singleLevel"/>
    <w:tmpl w:val="69DF3883"/>
    <w:lvl w:ilvl="0" w:tentative="0">
      <w:start w:val="1"/>
      <w:numFmt w:val="decimal"/>
      <w:suff w:val="space"/>
      <w:lvlText w:val="[%1]."/>
      <w:lvlJc w:val="left"/>
    </w:lvl>
  </w:abstractNum>
  <w:abstractNum w:abstractNumId="3">
    <w:nsid w:val="6D6C0433"/>
    <w:multiLevelType w:val="multilevel"/>
    <w:tmpl w:val="6D6C0433"/>
    <w:lvl w:ilvl="0" w:tentative="0">
      <w:start w:val="1"/>
      <w:numFmt w:val="decimal"/>
      <w:lvlText w:val="%1."/>
      <w:lvlJc w:val="left"/>
      <w:pPr>
        <w:tabs>
          <w:tab w:val="left" w:pos="425"/>
        </w:tabs>
        <w:ind w:left="425" w:hanging="425"/>
      </w:p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4">
    <w:nsid w:val="70146DC0"/>
    <w:multiLevelType w:val="multilevel"/>
    <w:tmpl w:val="70146DC0"/>
    <w:lvl w:ilvl="0" w:tentative="0">
      <w:start w:val="1"/>
      <w:numFmt w:val="bullet"/>
      <w:pStyle w:val="22"/>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rPr>
    </w:lvl>
    <w:lvl w:ilvl="1" w:tentative="0">
      <w:start w:val="1"/>
      <w:numFmt w:val="decimal"/>
      <w:lvlText w:val="%1.%2."/>
      <w:lvlJc w:val="left"/>
      <w:pPr>
        <w:tabs>
          <w:tab w:val="left" w:pos="567"/>
        </w:tabs>
        <w:ind w:left="567" w:hanging="567"/>
      </w:pPr>
      <w:rPr>
        <w:rFonts w:hint="default"/>
        <w:u w:val="none"/>
      </w:rPr>
    </w:lvl>
    <w:lvl w:ilvl="2" w:tentative="0">
      <w:start w:val="1"/>
      <w:numFmt w:val="decimal"/>
      <w:lvlText w:val="%1.%2.%3"/>
      <w:lvlJc w:val="left"/>
      <w:pPr>
        <w:tabs>
          <w:tab w:val="left" w:pos="-5500"/>
        </w:tabs>
        <w:ind w:left="-2949" w:hanging="1304"/>
      </w:pPr>
      <w:rPr>
        <w:rFonts w:hint="default"/>
        <w:u w:val="none"/>
      </w:rPr>
    </w:lvl>
    <w:lvl w:ilvl="3" w:tentative="0">
      <w:start w:val="1"/>
      <w:numFmt w:val="decimal"/>
      <w:lvlText w:val="%1.%2.%3.%4"/>
      <w:lvlJc w:val="left"/>
      <w:pPr>
        <w:tabs>
          <w:tab w:val="left" w:pos="-5500"/>
        </w:tabs>
        <w:ind w:left="-2949" w:hanging="1304"/>
      </w:pPr>
      <w:rPr>
        <w:rFonts w:hint="default"/>
        <w:u w:val="none"/>
      </w:rPr>
    </w:lvl>
    <w:lvl w:ilvl="4" w:tentative="0">
      <w:start w:val="1"/>
      <w:numFmt w:val="decimal"/>
      <w:lvlText w:val="%1.%2.%3.%4.%5"/>
      <w:lvlJc w:val="left"/>
      <w:pPr>
        <w:tabs>
          <w:tab w:val="left" w:pos="-5500"/>
        </w:tabs>
        <w:ind w:left="-5500" w:firstLine="0"/>
      </w:pPr>
      <w:rPr>
        <w:rFonts w:hint="default"/>
      </w:rPr>
    </w:lvl>
    <w:lvl w:ilvl="5" w:tentative="0">
      <w:start w:val="1"/>
      <w:numFmt w:val="decimal"/>
      <w:lvlText w:val="%1.%2.%3.%4.%5.%6"/>
      <w:lvlJc w:val="left"/>
      <w:pPr>
        <w:tabs>
          <w:tab w:val="left" w:pos="-5500"/>
        </w:tabs>
        <w:ind w:left="-5500" w:firstLine="0"/>
      </w:pPr>
      <w:rPr>
        <w:rFonts w:hint="default"/>
      </w:rPr>
    </w:lvl>
    <w:lvl w:ilvl="6" w:tentative="0">
      <w:start w:val="1"/>
      <w:numFmt w:val="decimal"/>
      <w:lvlText w:val="%1.%2.%3.%4.%5.%6.%7"/>
      <w:lvlJc w:val="left"/>
      <w:pPr>
        <w:tabs>
          <w:tab w:val="left" w:pos="-5500"/>
        </w:tabs>
        <w:ind w:left="-5500" w:firstLine="0"/>
      </w:pPr>
      <w:rPr>
        <w:rFonts w:hint="default"/>
      </w:rPr>
    </w:lvl>
    <w:lvl w:ilvl="7" w:tentative="0">
      <w:start w:val="1"/>
      <w:numFmt w:val="decimal"/>
      <w:lvlText w:val="%1.%2.%3.%4.%5.%6.%7.%8"/>
      <w:lvlJc w:val="left"/>
      <w:pPr>
        <w:tabs>
          <w:tab w:val="left" w:pos="-5500"/>
        </w:tabs>
        <w:ind w:left="-5500" w:firstLine="0"/>
      </w:pPr>
      <w:rPr>
        <w:rFonts w:hint="default"/>
      </w:rPr>
    </w:lvl>
    <w:lvl w:ilvl="8" w:tentative="0">
      <w:start w:val="1"/>
      <w:numFmt w:val="decimal"/>
      <w:lvlText w:val="%1.%2.%3.%4.%5.%6.%7.%8.%9"/>
      <w:lvlJc w:val="left"/>
      <w:pPr>
        <w:tabs>
          <w:tab w:val="left" w:pos="-5500"/>
        </w:tabs>
        <w:ind w:left="-5500" w:firstLine="0"/>
      </w:pPr>
      <w:rPr>
        <w:rFonts w:hint="default"/>
      </w:rPr>
    </w:lvl>
  </w:abstractNum>
  <w:num w:numId="1">
    <w:abstractNumId w:val="5"/>
  </w:num>
  <w:num w:numId="2">
    <w:abstractNumId w:val="4"/>
  </w:num>
  <w:num w:numId="3">
    <w:abstractNumId w:val="3"/>
  </w:num>
  <w:num w:numId="4">
    <w:abstractNumId w:val="1"/>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val="1"/>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0636"/>
    <w:rsid w:val="00013BA4"/>
    <w:rsid w:val="0005671C"/>
    <w:rsid w:val="00061CA6"/>
    <w:rsid w:val="0006244B"/>
    <w:rsid w:val="000759B1"/>
    <w:rsid w:val="00083F3F"/>
    <w:rsid w:val="00085FBD"/>
    <w:rsid w:val="000A491D"/>
    <w:rsid w:val="000A6217"/>
    <w:rsid w:val="000B0F91"/>
    <w:rsid w:val="000B5410"/>
    <w:rsid w:val="000D080C"/>
    <w:rsid w:val="000D0AFC"/>
    <w:rsid w:val="000D0B43"/>
    <w:rsid w:val="000E56BD"/>
    <w:rsid w:val="000E5ADE"/>
    <w:rsid w:val="000E69BE"/>
    <w:rsid w:val="000E7279"/>
    <w:rsid w:val="00105816"/>
    <w:rsid w:val="001171EC"/>
    <w:rsid w:val="00120EC7"/>
    <w:rsid w:val="00135741"/>
    <w:rsid w:val="00135A25"/>
    <w:rsid w:val="00145FCC"/>
    <w:rsid w:val="00150AA9"/>
    <w:rsid w:val="00155FE3"/>
    <w:rsid w:val="00166FC4"/>
    <w:rsid w:val="00173365"/>
    <w:rsid w:val="0017397A"/>
    <w:rsid w:val="00176318"/>
    <w:rsid w:val="001A1AAB"/>
    <w:rsid w:val="001B5026"/>
    <w:rsid w:val="001D656C"/>
    <w:rsid w:val="001E060A"/>
    <w:rsid w:val="001F0043"/>
    <w:rsid w:val="001F52D0"/>
    <w:rsid w:val="001F6507"/>
    <w:rsid w:val="0020637C"/>
    <w:rsid w:val="00214EE4"/>
    <w:rsid w:val="00215355"/>
    <w:rsid w:val="00215864"/>
    <w:rsid w:val="0026335C"/>
    <w:rsid w:val="00273FB3"/>
    <w:rsid w:val="002740F4"/>
    <w:rsid w:val="00274BC6"/>
    <w:rsid w:val="0028022E"/>
    <w:rsid w:val="002826E5"/>
    <w:rsid w:val="002A0627"/>
    <w:rsid w:val="002A4DF4"/>
    <w:rsid w:val="002A7120"/>
    <w:rsid w:val="002B021B"/>
    <w:rsid w:val="002B0636"/>
    <w:rsid w:val="002B1F12"/>
    <w:rsid w:val="002C0615"/>
    <w:rsid w:val="002E1D30"/>
    <w:rsid w:val="002E57AE"/>
    <w:rsid w:val="002F7B55"/>
    <w:rsid w:val="0030001D"/>
    <w:rsid w:val="00320391"/>
    <w:rsid w:val="00331285"/>
    <w:rsid w:val="00341B4D"/>
    <w:rsid w:val="00357A02"/>
    <w:rsid w:val="003700E6"/>
    <w:rsid w:val="003A22D2"/>
    <w:rsid w:val="003A7D6F"/>
    <w:rsid w:val="003A7D8B"/>
    <w:rsid w:val="003B183A"/>
    <w:rsid w:val="003C36A0"/>
    <w:rsid w:val="003C4CE5"/>
    <w:rsid w:val="003E5D6D"/>
    <w:rsid w:val="003F15A1"/>
    <w:rsid w:val="004026AD"/>
    <w:rsid w:val="004143D6"/>
    <w:rsid w:val="00427A7B"/>
    <w:rsid w:val="0043168C"/>
    <w:rsid w:val="004521D3"/>
    <w:rsid w:val="00454E30"/>
    <w:rsid w:val="004610C2"/>
    <w:rsid w:val="00461B98"/>
    <w:rsid w:val="004719C5"/>
    <w:rsid w:val="00472555"/>
    <w:rsid w:val="0047269B"/>
    <w:rsid w:val="00484B91"/>
    <w:rsid w:val="00493435"/>
    <w:rsid w:val="00495311"/>
    <w:rsid w:val="00495DFD"/>
    <w:rsid w:val="004A1F28"/>
    <w:rsid w:val="004A5814"/>
    <w:rsid w:val="004A7B30"/>
    <w:rsid w:val="004B4CB2"/>
    <w:rsid w:val="004D738B"/>
    <w:rsid w:val="004D7CA3"/>
    <w:rsid w:val="004E762E"/>
    <w:rsid w:val="00505F7B"/>
    <w:rsid w:val="00516018"/>
    <w:rsid w:val="0052608D"/>
    <w:rsid w:val="00530F32"/>
    <w:rsid w:val="00532F48"/>
    <w:rsid w:val="00540C5B"/>
    <w:rsid w:val="0054420B"/>
    <w:rsid w:val="00547D9A"/>
    <w:rsid w:val="00552B8A"/>
    <w:rsid w:val="00560C8C"/>
    <w:rsid w:val="00567185"/>
    <w:rsid w:val="005762B4"/>
    <w:rsid w:val="00580604"/>
    <w:rsid w:val="00581AF0"/>
    <w:rsid w:val="00581E1C"/>
    <w:rsid w:val="00594FE7"/>
    <w:rsid w:val="005A6661"/>
    <w:rsid w:val="005B26FC"/>
    <w:rsid w:val="005B3756"/>
    <w:rsid w:val="005C309F"/>
    <w:rsid w:val="005F6E37"/>
    <w:rsid w:val="0064620A"/>
    <w:rsid w:val="0066310E"/>
    <w:rsid w:val="006653C5"/>
    <w:rsid w:val="00666966"/>
    <w:rsid w:val="00667F67"/>
    <w:rsid w:val="00684573"/>
    <w:rsid w:val="006A38B9"/>
    <w:rsid w:val="006A3DD3"/>
    <w:rsid w:val="006B61C1"/>
    <w:rsid w:val="006C7569"/>
    <w:rsid w:val="006D0B1D"/>
    <w:rsid w:val="006D5528"/>
    <w:rsid w:val="006D5F91"/>
    <w:rsid w:val="006E1DB4"/>
    <w:rsid w:val="006E4F4F"/>
    <w:rsid w:val="006E5345"/>
    <w:rsid w:val="007000DF"/>
    <w:rsid w:val="00707492"/>
    <w:rsid w:val="00711D66"/>
    <w:rsid w:val="007268E9"/>
    <w:rsid w:val="00727470"/>
    <w:rsid w:val="007338F2"/>
    <w:rsid w:val="00736672"/>
    <w:rsid w:val="00752D7F"/>
    <w:rsid w:val="0075354A"/>
    <w:rsid w:val="00753D3D"/>
    <w:rsid w:val="0075652D"/>
    <w:rsid w:val="00764B0E"/>
    <w:rsid w:val="00773383"/>
    <w:rsid w:val="00782FCA"/>
    <w:rsid w:val="007839A3"/>
    <w:rsid w:val="007924E6"/>
    <w:rsid w:val="00792BCD"/>
    <w:rsid w:val="007A1178"/>
    <w:rsid w:val="007A7246"/>
    <w:rsid w:val="007B3D19"/>
    <w:rsid w:val="007C109B"/>
    <w:rsid w:val="007C1919"/>
    <w:rsid w:val="007C1B9A"/>
    <w:rsid w:val="007D2C12"/>
    <w:rsid w:val="007D40CC"/>
    <w:rsid w:val="007E057B"/>
    <w:rsid w:val="007E3500"/>
    <w:rsid w:val="0080099E"/>
    <w:rsid w:val="00811A9D"/>
    <w:rsid w:val="008139E0"/>
    <w:rsid w:val="00833ADE"/>
    <w:rsid w:val="00834FA2"/>
    <w:rsid w:val="008503C8"/>
    <w:rsid w:val="008515ED"/>
    <w:rsid w:val="00851AFA"/>
    <w:rsid w:val="00852C6A"/>
    <w:rsid w:val="008547D1"/>
    <w:rsid w:val="00855743"/>
    <w:rsid w:val="00855871"/>
    <w:rsid w:val="00856DA9"/>
    <w:rsid w:val="0086121B"/>
    <w:rsid w:val="0086559D"/>
    <w:rsid w:val="008733B8"/>
    <w:rsid w:val="0087732F"/>
    <w:rsid w:val="008801D5"/>
    <w:rsid w:val="008808C5"/>
    <w:rsid w:val="00884D00"/>
    <w:rsid w:val="008A0F1D"/>
    <w:rsid w:val="008C5054"/>
    <w:rsid w:val="008C7AFF"/>
    <w:rsid w:val="008D07E0"/>
    <w:rsid w:val="008E3940"/>
    <w:rsid w:val="008F5CC5"/>
    <w:rsid w:val="009076FA"/>
    <w:rsid w:val="00913C84"/>
    <w:rsid w:val="00926C40"/>
    <w:rsid w:val="009318E1"/>
    <w:rsid w:val="00934C6F"/>
    <w:rsid w:val="00955E4C"/>
    <w:rsid w:val="0095695C"/>
    <w:rsid w:val="00966A34"/>
    <w:rsid w:val="00970D2B"/>
    <w:rsid w:val="00974A66"/>
    <w:rsid w:val="00974C52"/>
    <w:rsid w:val="009907D4"/>
    <w:rsid w:val="0099233B"/>
    <w:rsid w:val="009A061E"/>
    <w:rsid w:val="009A49C3"/>
    <w:rsid w:val="009B4731"/>
    <w:rsid w:val="009B56D3"/>
    <w:rsid w:val="009B6F82"/>
    <w:rsid w:val="009D48C0"/>
    <w:rsid w:val="009F4A1F"/>
    <w:rsid w:val="009F4AF3"/>
    <w:rsid w:val="009F5F55"/>
    <w:rsid w:val="009F6836"/>
    <w:rsid w:val="009F7AC8"/>
    <w:rsid w:val="00A06B40"/>
    <w:rsid w:val="00A173C8"/>
    <w:rsid w:val="00A20CC1"/>
    <w:rsid w:val="00A35B17"/>
    <w:rsid w:val="00A427FE"/>
    <w:rsid w:val="00A70C24"/>
    <w:rsid w:val="00A71353"/>
    <w:rsid w:val="00A7372F"/>
    <w:rsid w:val="00A758EB"/>
    <w:rsid w:val="00A95915"/>
    <w:rsid w:val="00AA7AE5"/>
    <w:rsid w:val="00AC1A8F"/>
    <w:rsid w:val="00AC6432"/>
    <w:rsid w:val="00AE6A6F"/>
    <w:rsid w:val="00AF7E33"/>
    <w:rsid w:val="00B01C75"/>
    <w:rsid w:val="00B02BAC"/>
    <w:rsid w:val="00B17843"/>
    <w:rsid w:val="00B221DC"/>
    <w:rsid w:val="00B23F03"/>
    <w:rsid w:val="00B264DA"/>
    <w:rsid w:val="00B318FA"/>
    <w:rsid w:val="00B40540"/>
    <w:rsid w:val="00B40747"/>
    <w:rsid w:val="00B549B6"/>
    <w:rsid w:val="00B54FBE"/>
    <w:rsid w:val="00B659A4"/>
    <w:rsid w:val="00B759FC"/>
    <w:rsid w:val="00B858CB"/>
    <w:rsid w:val="00B864E6"/>
    <w:rsid w:val="00B87DB9"/>
    <w:rsid w:val="00B9007D"/>
    <w:rsid w:val="00B91B64"/>
    <w:rsid w:val="00BA090B"/>
    <w:rsid w:val="00BB2CA7"/>
    <w:rsid w:val="00BB74ED"/>
    <w:rsid w:val="00BC0D46"/>
    <w:rsid w:val="00BC5D13"/>
    <w:rsid w:val="00BD6C15"/>
    <w:rsid w:val="00BF3FE7"/>
    <w:rsid w:val="00BF6874"/>
    <w:rsid w:val="00C03EAD"/>
    <w:rsid w:val="00C60C15"/>
    <w:rsid w:val="00C70DAA"/>
    <w:rsid w:val="00C85B05"/>
    <w:rsid w:val="00C90274"/>
    <w:rsid w:val="00C96026"/>
    <w:rsid w:val="00C978FE"/>
    <w:rsid w:val="00CA3BA1"/>
    <w:rsid w:val="00CA6014"/>
    <w:rsid w:val="00CB34D6"/>
    <w:rsid w:val="00CC0188"/>
    <w:rsid w:val="00CC09D7"/>
    <w:rsid w:val="00CC3783"/>
    <w:rsid w:val="00CC48E3"/>
    <w:rsid w:val="00CD4E03"/>
    <w:rsid w:val="00CD4ED4"/>
    <w:rsid w:val="00CE0D78"/>
    <w:rsid w:val="00CF2694"/>
    <w:rsid w:val="00D04AE6"/>
    <w:rsid w:val="00D11D02"/>
    <w:rsid w:val="00D15D5F"/>
    <w:rsid w:val="00D20A93"/>
    <w:rsid w:val="00D235A2"/>
    <w:rsid w:val="00D2504C"/>
    <w:rsid w:val="00D31AD6"/>
    <w:rsid w:val="00D355B5"/>
    <w:rsid w:val="00D45344"/>
    <w:rsid w:val="00D46048"/>
    <w:rsid w:val="00D6406D"/>
    <w:rsid w:val="00D673C9"/>
    <w:rsid w:val="00D71A69"/>
    <w:rsid w:val="00DA0BCD"/>
    <w:rsid w:val="00DA1A5A"/>
    <w:rsid w:val="00DB0B62"/>
    <w:rsid w:val="00DE2111"/>
    <w:rsid w:val="00DE2929"/>
    <w:rsid w:val="00E05743"/>
    <w:rsid w:val="00E17E22"/>
    <w:rsid w:val="00E201AD"/>
    <w:rsid w:val="00E324AB"/>
    <w:rsid w:val="00E34462"/>
    <w:rsid w:val="00E439CF"/>
    <w:rsid w:val="00E62A0E"/>
    <w:rsid w:val="00E70F66"/>
    <w:rsid w:val="00E71D9D"/>
    <w:rsid w:val="00E73652"/>
    <w:rsid w:val="00E73C5A"/>
    <w:rsid w:val="00E7798C"/>
    <w:rsid w:val="00E8555F"/>
    <w:rsid w:val="00E86D76"/>
    <w:rsid w:val="00E94515"/>
    <w:rsid w:val="00EA003D"/>
    <w:rsid w:val="00EA06EC"/>
    <w:rsid w:val="00EB29DE"/>
    <w:rsid w:val="00EB3617"/>
    <w:rsid w:val="00EB5161"/>
    <w:rsid w:val="00EC596C"/>
    <w:rsid w:val="00ED1990"/>
    <w:rsid w:val="00EE0F4F"/>
    <w:rsid w:val="00EF1A25"/>
    <w:rsid w:val="00EF3D4B"/>
    <w:rsid w:val="00EF7905"/>
    <w:rsid w:val="00F3610B"/>
    <w:rsid w:val="00F40044"/>
    <w:rsid w:val="00F554E2"/>
    <w:rsid w:val="00F63580"/>
    <w:rsid w:val="00F66553"/>
    <w:rsid w:val="00F9059B"/>
    <w:rsid w:val="00F94DB6"/>
    <w:rsid w:val="00FA0D90"/>
    <w:rsid w:val="00FB0714"/>
    <w:rsid w:val="00FC050F"/>
    <w:rsid w:val="00FD0A36"/>
    <w:rsid w:val="00FD3A53"/>
    <w:rsid w:val="00FD4A2D"/>
    <w:rsid w:val="00FE55D4"/>
    <w:rsid w:val="00FF326D"/>
    <w:rsid w:val="00FF3E4A"/>
    <w:rsid w:val="00FF761B"/>
    <w:rsid w:val="016158E9"/>
    <w:rsid w:val="03CE07DA"/>
    <w:rsid w:val="04302D8C"/>
    <w:rsid w:val="043A26C6"/>
    <w:rsid w:val="04526AA1"/>
    <w:rsid w:val="04850536"/>
    <w:rsid w:val="06B460FA"/>
    <w:rsid w:val="07194CC2"/>
    <w:rsid w:val="0723281B"/>
    <w:rsid w:val="08733140"/>
    <w:rsid w:val="08E06F11"/>
    <w:rsid w:val="097E5C16"/>
    <w:rsid w:val="09872D1E"/>
    <w:rsid w:val="0A0A521C"/>
    <w:rsid w:val="0A54378C"/>
    <w:rsid w:val="0A6916FC"/>
    <w:rsid w:val="0A8D6C71"/>
    <w:rsid w:val="0AEF3908"/>
    <w:rsid w:val="0B1905D5"/>
    <w:rsid w:val="0BF70454"/>
    <w:rsid w:val="0DDE1DF5"/>
    <w:rsid w:val="0F8C64FC"/>
    <w:rsid w:val="0FE5762E"/>
    <w:rsid w:val="0FFB01AF"/>
    <w:rsid w:val="10172835"/>
    <w:rsid w:val="1242504B"/>
    <w:rsid w:val="12454567"/>
    <w:rsid w:val="13001EA4"/>
    <w:rsid w:val="13286007"/>
    <w:rsid w:val="15C665E1"/>
    <w:rsid w:val="15DB58B7"/>
    <w:rsid w:val="17060F04"/>
    <w:rsid w:val="17315355"/>
    <w:rsid w:val="18A73040"/>
    <w:rsid w:val="18C740C7"/>
    <w:rsid w:val="1B382220"/>
    <w:rsid w:val="1C7B75D2"/>
    <w:rsid w:val="1DC94EAF"/>
    <w:rsid w:val="1E3133C0"/>
    <w:rsid w:val="1F1D37C9"/>
    <w:rsid w:val="1F824FEC"/>
    <w:rsid w:val="1F8F6AAD"/>
    <w:rsid w:val="1FB16176"/>
    <w:rsid w:val="210416C7"/>
    <w:rsid w:val="21041752"/>
    <w:rsid w:val="213752C7"/>
    <w:rsid w:val="21553127"/>
    <w:rsid w:val="21D5766E"/>
    <w:rsid w:val="229B757B"/>
    <w:rsid w:val="24202A87"/>
    <w:rsid w:val="2459250F"/>
    <w:rsid w:val="25A56C1D"/>
    <w:rsid w:val="25F40B4A"/>
    <w:rsid w:val="26961522"/>
    <w:rsid w:val="26D15C31"/>
    <w:rsid w:val="271859DB"/>
    <w:rsid w:val="271F1829"/>
    <w:rsid w:val="27E250CA"/>
    <w:rsid w:val="295857B1"/>
    <w:rsid w:val="2970123B"/>
    <w:rsid w:val="2B7375F5"/>
    <w:rsid w:val="2B953CF4"/>
    <w:rsid w:val="2BA10A57"/>
    <w:rsid w:val="2BC87DB5"/>
    <w:rsid w:val="2D113BCD"/>
    <w:rsid w:val="2D641564"/>
    <w:rsid w:val="2D645ABE"/>
    <w:rsid w:val="2DE328FA"/>
    <w:rsid w:val="2E53242C"/>
    <w:rsid w:val="2E737315"/>
    <w:rsid w:val="2EB15109"/>
    <w:rsid w:val="2FD14D95"/>
    <w:rsid w:val="3079070A"/>
    <w:rsid w:val="310075AC"/>
    <w:rsid w:val="32E35C1E"/>
    <w:rsid w:val="337A5EC1"/>
    <w:rsid w:val="347B08FE"/>
    <w:rsid w:val="34A64C7D"/>
    <w:rsid w:val="36B20C46"/>
    <w:rsid w:val="36CF766C"/>
    <w:rsid w:val="36FC207B"/>
    <w:rsid w:val="379932E9"/>
    <w:rsid w:val="387E5A78"/>
    <w:rsid w:val="392D67A9"/>
    <w:rsid w:val="3ACC368D"/>
    <w:rsid w:val="3B2B1A6B"/>
    <w:rsid w:val="3B7A483B"/>
    <w:rsid w:val="3C4B61EC"/>
    <w:rsid w:val="3CAC0F8F"/>
    <w:rsid w:val="3CDC39CA"/>
    <w:rsid w:val="3D433950"/>
    <w:rsid w:val="3D904F77"/>
    <w:rsid w:val="3ECF3642"/>
    <w:rsid w:val="402A4F9B"/>
    <w:rsid w:val="407C75E7"/>
    <w:rsid w:val="408D6E4D"/>
    <w:rsid w:val="40C1720F"/>
    <w:rsid w:val="40DB1743"/>
    <w:rsid w:val="40DB2E9C"/>
    <w:rsid w:val="423201F7"/>
    <w:rsid w:val="423A4C17"/>
    <w:rsid w:val="42A25739"/>
    <w:rsid w:val="4342077C"/>
    <w:rsid w:val="44517C49"/>
    <w:rsid w:val="44E50743"/>
    <w:rsid w:val="450A1253"/>
    <w:rsid w:val="466C7F7C"/>
    <w:rsid w:val="485C6D77"/>
    <w:rsid w:val="48D62025"/>
    <w:rsid w:val="49B53A65"/>
    <w:rsid w:val="4B3B263E"/>
    <w:rsid w:val="4B88370A"/>
    <w:rsid w:val="4C5A697F"/>
    <w:rsid w:val="4D471D63"/>
    <w:rsid w:val="4D48343F"/>
    <w:rsid w:val="4DA2209C"/>
    <w:rsid w:val="4E453A54"/>
    <w:rsid w:val="4ECD0D77"/>
    <w:rsid w:val="4F0F3EA8"/>
    <w:rsid w:val="4F347254"/>
    <w:rsid w:val="517D6D2E"/>
    <w:rsid w:val="518E2F8C"/>
    <w:rsid w:val="51F01E8F"/>
    <w:rsid w:val="52472678"/>
    <w:rsid w:val="52506A7E"/>
    <w:rsid w:val="52B72ECD"/>
    <w:rsid w:val="52B76FF2"/>
    <w:rsid w:val="52DE2DE3"/>
    <w:rsid w:val="53450C54"/>
    <w:rsid w:val="53CA4716"/>
    <w:rsid w:val="543779BC"/>
    <w:rsid w:val="54522279"/>
    <w:rsid w:val="55E60E5A"/>
    <w:rsid w:val="56737C72"/>
    <w:rsid w:val="56E54D1E"/>
    <w:rsid w:val="56EC1775"/>
    <w:rsid w:val="580C4BE9"/>
    <w:rsid w:val="58CF17FE"/>
    <w:rsid w:val="59503030"/>
    <w:rsid w:val="5A1D0758"/>
    <w:rsid w:val="5A994431"/>
    <w:rsid w:val="5AA65183"/>
    <w:rsid w:val="5B7D3701"/>
    <w:rsid w:val="5D7C20AB"/>
    <w:rsid w:val="5D8C3D1F"/>
    <w:rsid w:val="5E7B45CA"/>
    <w:rsid w:val="5E8B3DF8"/>
    <w:rsid w:val="5F1B04DA"/>
    <w:rsid w:val="5F7E45B6"/>
    <w:rsid w:val="5FC329D0"/>
    <w:rsid w:val="61206DD0"/>
    <w:rsid w:val="61A35313"/>
    <w:rsid w:val="62B2073D"/>
    <w:rsid w:val="63722B52"/>
    <w:rsid w:val="6455086B"/>
    <w:rsid w:val="65B86D58"/>
    <w:rsid w:val="6634396A"/>
    <w:rsid w:val="66DA1E39"/>
    <w:rsid w:val="67DB059B"/>
    <w:rsid w:val="681E0737"/>
    <w:rsid w:val="68D55636"/>
    <w:rsid w:val="69A449E9"/>
    <w:rsid w:val="6B6B081B"/>
    <w:rsid w:val="6B737CBE"/>
    <w:rsid w:val="6B800566"/>
    <w:rsid w:val="6BF51796"/>
    <w:rsid w:val="6DD2249F"/>
    <w:rsid w:val="6DEA6C11"/>
    <w:rsid w:val="6E400423"/>
    <w:rsid w:val="6FA77AB0"/>
    <w:rsid w:val="72043384"/>
    <w:rsid w:val="721465D7"/>
    <w:rsid w:val="74051631"/>
    <w:rsid w:val="74886AC7"/>
    <w:rsid w:val="749A41B2"/>
    <w:rsid w:val="7501214F"/>
    <w:rsid w:val="76466CBB"/>
    <w:rsid w:val="773C74D2"/>
    <w:rsid w:val="775D0D93"/>
    <w:rsid w:val="7826463F"/>
    <w:rsid w:val="78564FDD"/>
    <w:rsid w:val="78825329"/>
    <w:rsid w:val="799E1BE4"/>
    <w:rsid w:val="7A186DED"/>
    <w:rsid w:val="7A84317F"/>
    <w:rsid w:val="7B9B3DFC"/>
    <w:rsid w:val="7D37352E"/>
    <w:rsid w:val="7D7B33A2"/>
    <w:rsid w:val="7E470B5A"/>
    <w:rsid w:val="7E6B723A"/>
    <w:rsid w:val="7F3307C7"/>
    <w:rsid w:val="7F710065"/>
    <w:rsid w:val="7F7E7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G Times (WN)" w:hAnsi="CG Times (WN)" w:eastAsia="Times New Roman" w:cs="Times New Roman"/>
      <w:szCs w:val="24"/>
      <w:lang w:val="en-US" w:eastAsia="en-US" w:bidi="ar-SA"/>
    </w:rPr>
  </w:style>
  <w:style w:type="paragraph" w:styleId="2">
    <w:name w:val="heading 1"/>
    <w:basedOn w:val="1"/>
    <w:next w:val="1"/>
    <w:qFormat/>
    <w:uiPriority w:val="0"/>
    <w:pPr>
      <w:keepNext/>
      <w:numPr>
        <w:ilvl w:val="0"/>
        <w:numId w:val="1"/>
      </w:numPr>
      <w:spacing w:before="360" w:after="120"/>
      <w:outlineLvl w:val="0"/>
    </w:pPr>
    <w:rPr>
      <w:rFonts w:ascii="Arial" w:hAnsi="Arial" w:eastAsia="宋体" w:cs="Arial"/>
      <w:b/>
      <w:bCs/>
      <w:kern w:val="32"/>
      <w:sz w:val="28"/>
      <w:szCs w:val="32"/>
      <w:lang w:eastAsia="zh-CN"/>
    </w:rPr>
  </w:style>
  <w:style w:type="paragraph" w:styleId="3">
    <w:name w:val="heading 2"/>
    <w:basedOn w:val="2"/>
    <w:next w:val="1"/>
    <w:link w:val="43"/>
    <w:qFormat/>
    <w:uiPriority w:val="0"/>
    <w:pPr>
      <w:spacing w:before="180"/>
      <w:outlineLvl w:val="1"/>
    </w:pPr>
    <w:rPr>
      <w:sz w:val="32"/>
      <w:lang w:val="zh-CN"/>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character" w:default="1" w:styleId="14">
    <w:name w:val="Default Paragraph Font"/>
    <w:semiHidden/>
    <w:unhideWhenUsed/>
    <w:uiPriority w:val="1"/>
  </w:style>
  <w:style w:type="table" w:default="1" w:styleId="17">
    <w:name w:val="Normal Table"/>
    <w:semiHidden/>
    <w:unhideWhenUsed/>
    <w:uiPriority w:val="99"/>
    <w:tblPr>
      <w:tblLayout w:type="fixed"/>
      <w:tblCellMar>
        <w:top w:w="0" w:type="dxa"/>
        <w:left w:w="108" w:type="dxa"/>
        <w:bottom w:w="0" w:type="dxa"/>
        <w:right w:w="108" w:type="dxa"/>
      </w:tblCellMar>
    </w:tblPr>
  </w:style>
  <w:style w:type="paragraph" w:styleId="6">
    <w:name w:val="annotation subject"/>
    <w:basedOn w:val="7"/>
    <w:next w:val="7"/>
    <w:link w:val="48"/>
    <w:qFormat/>
    <w:uiPriority w:val="0"/>
    <w:rPr>
      <w:b/>
      <w:bCs/>
      <w:szCs w:val="20"/>
    </w:rPr>
  </w:style>
  <w:style w:type="paragraph" w:styleId="7">
    <w:name w:val="annotation text"/>
    <w:basedOn w:val="1"/>
    <w:link w:val="47"/>
    <w:semiHidden/>
    <w:qFormat/>
    <w:uiPriority w:val="0"/>
  </w:style>
  <w:style w:type="paragraph" w:styleId="8">
    <w:name w:val="caption"/>
    <w:basedOn w:val="1"/>
    <w:next w:val="1"/>
    <w:unhideWhenUsed/>
    <w:qFormat/>
    <w:uiPriority w:val="35"/>
    <w:pPr>
      <w:widowControl w:val="0"/>
      <w:adjustRightInd w:val="0"/>
      <w:snapToGrid w:val="0"/>
      <w:spacing w:line="400" w:lineRule="atLeast"/>
      <w:jc w:val="center"/>
    </w:pPr>
    <w:rPr>
      <w:rFonts w:ascii="Times New Roman" w:hAnsi="Times New Roman" w:eastAsia="楷体_GB2312"/>
      <w:kern w:val="2"/>
      <w:sz w:val="18"/>
      <w:szCs w:val="20"/>
      <w:lang w:eastAsia="zh-CN"/>
    </w:rPr>
  </w:style>
  <w:style w:type="paragraph" w:styleId="9">
    <w:name w:val="Body Text"/>
    <w:basedOn w:val="1"/>
    <w:link w:val="35"/>
    <w:qFormat/>
    <w:uiPriority w:val="0"/>
    <w:pPr>
      <w:spacing w:after="120"/>
      <w:jc w:val="both"/>
    </w:pPr>
    <w:rPr>
      <w:rFonts w:eastAsia="MS Mincho"/>
    </w:rPr>
  </w:style>
  <w:style w:type="paragraph" w:styleId="10">
    <w:name w:val="Balloon Text"/>
    <w:basedOn w:val="1"/>
    <w:link w:val="49"/>
    <w:semiHidden/>
    <w:unhideWhenUsed/>
    <w:qFormat/>
    <w:uiPriority w:val="0"/>
    <w:rPr>
      <w:rFonts w:ascii="Segoe UI" w:hAnsi="Segoe UI" w:cs="Segoe UI"/>
      <w:sz w:val="18"/>
      <w:szCs w:val="18"/>
    </w:rPr>
  </w:style>
  <w:style w:type="paragraph" w:styleId="11">
    <w:name w:val="footer"/>
    <w:basedOn w:val="1"/>
    <w:link w:val="36"/>
    <w:uiPriority w:val="0"/>
    <w:pPr>
      <w:tabs>
        <w:tab w:val="center" w:pos="4153"/>
        <w:tab w:val="right" w:pos="8306"/>
      </w:tabs>
      <w:snapToGrid w:val="0"/>
    </w:pPr>
    <w:rPr>
      <w:sz w:val="18"/>
      <w:szCs w:val="18"/>
    </w:rPr>
  </w:style>
  <w:style w:type="paragraph" w:styleId="12">
    <w:name w:val="header"/>
    <w:basedOn w:val="1"/>
    <w:qFormat/>
    <w:uiPriority w:val="0"/>
    <w:pPr>
      <w:tabs>
        <w:tab w:val="center" w:pos="4536"/>
        <w:tab w:val="right" w:pos="9072"/>
      </w:tabs>
    </w:pPr>
    <w:rPr>
      <w:rFonts w:ascii="Arial" w:hAnsi="Arial" w:eastAsia="MS Mincho"/>
      <w:b/>
    </w:rPr>
  </w:style>
  <w:style w:type="paragraph" w:styleId="13">
    <w:name w:val="List"/>
    <w:basedOn w:val="1"/>
    <w:qFormat/>
    <w:uiPriority w:val="0"/>
    <w:pPr>
      <w:ind w:left="568" w:hanging="284"/>
    </w:pPr>
  </w:style>
  <w:style w:type="character" w:styleId="15">
    <w:name w:val="Hyperlink"/>
    <w:qFormat/>
    <w:uiPriority w:val="99"/>
    <w:rPr>
      <w:color w:val="0000FF"/>
      <w:u w:val="single"/>
    </w:rPr>
  </w:style>
  <w:style w:type="character" w:styleId="16">
    <w:name w:val="annotation reference"/>
    <w:basedOn w:val="14"/>
    <w:qFormat/>
    <w:uiPriority w:val="0"/>
    <w:rPr>
      <w:sz w:val="16"/>
      <w:szCs w:val="16"/>
    </w:rPr>
  </w:style>
  <w:style w:type="paragraph" w:customStyle="1" w:styleId="18">
    <w:name w:val="TAH"/>
    <w:basedOn w:val="19"/>
    <w:link w:val="33"/>
    <w:qFormat/>
    <w:uiPriority w:val="0"/>
    <w:rPr>
      <w:b/>
    </w:rPr>
  </w:style>
  <w:style w:type="paragraph" w:customStyle="1" w:styleId="19">
    <w:name w:val="TAC"/>
    <w:basedOn w:val="20"/>
    <w:link w:val="34"/>
    <w:qFormat/>
    <w:uiPriority w:val="0"/>
    <w:pPr>
      <w:overflowPunct w:val="0"/>
      <w:autoSpaceDE w:val="0"/>
      <w:autoSpaceDN w:val="0"/>
      <w:adjustRightInd w:val="0"/>
      <w:jc w:val="center"/>
      <w:textAlignment w:val="baseline"/>
    </w:pPr>
    <w:rPr>
      <w:lang w:eastAsia="en-GB"/>
    </w:rPr>
  </w:style>
  <w:style w:type="paragraph" w:customStyle="1" w:styleId="20">
    <w:name w:val="TAL"/>
    <w:basedOn w:val="1"/>
    <w:link w:val="32"/>
    <w:qFormat/>
    <w:uiPriority w:val="0"/>
    <w:pPr>
      <w:keepNext/>
      <w:keepLines/>
    </w:pPr>
    <w:rPr>
      <w:rFonts w:ascii="Arial" w:hAnsi="Arial"/>
      <w:sz w:val="18"/>
      <w:szCs w:val="20"/>
      <w:lang w:val="en-GB"/>
    </w:rPr>
  </w:style>
  <w:style w:type="paragraph" w:customStyle="1" w:styleId="21">
    <w:name w:val="Doc-text2"/>
    <w:basedOn w:val="1"/>
    <w:qFormat/>
    <w:uiPriority w:val="0"/>
    <w:pPr>
      <w:tabs>
        <w:tab w:val="left" w:pos="1622"/>
      </w:tabs>
      <w:ind w:left="1622" w:hanging="363"/>
    </w:pPr>
    <w:rPr>
      <w:rFonts w:ascii="Arial" w:hAnsi="Arial" w:eastAsia="MS Mincho"/>
      <w:lang w:val="en-GB" w:eastAsia="en-GB"/>
    </w:rPr>
  </w:style>
  <w:style w:type="paragraph" w:customStyle="1" w:styleId="22">
    <w:name w:val="Agreement"/>
    <w:basedOn w:val="1"/>
    <w:next w:val="21"/>
    <w:qFormat/>
    <w:uiPriority w:val="0"/>
    <w:pPr>
      <w:numPr>
        <w:ilvl w:val="0"/>
        <w:numId w:val="2"/>
      </w:numPr>
      <w:spacing w:before="60"/>
    </w:pPr>
    <w:rPr>
      <w:b/>
    </w:rPr>
  </w:style>
  <w:style w:type="character" w:customStyle="1" w:styleId="23">
    <w:name w:val="PL Char"/>
    <w:basedOn w:val="14"/>
    <w:link w:val="24"/>
    <w:qFormat/>
    <w:uiPriority w:val="0"/>
    <w:rPr>
      <w:rFonts w:ascii="Courier New" w:hAnsi="Courier New" w:cs="Courier New"/>
    </w:rPr>
  </w:style>
  <w:style w:type="paragraph" w:customStyle="1" w:styleId="24">
    <w:name w:val="PL"/>
    <w:basedOn w:val="1"/>
    <w:link w:val="23"/>
    <w:qFormat/>
    <w:uiPriority w:val="0"/>
    <w:rPr>
      <w:rFonts w:ascii="Courier New" w:hAnsi="Courier New"/>
      <w:szCs w:val="20"/>
      <w:lang w:eastAsia="zh-CN"/>
    </w:rPr>
  </w:style>
  <w:style w:type="character" w:customStyle="1" w:styleId="25">
    <w:name w:val="B1 Char1"/>
    <w:basedOn w:val="14"/>
    <w:link w:val="26"/>
    <w:qFormat/>
    <w:uiPriority w:val="0"/>
  </w:style>
  <w:style w:type="paragraph" w:customStyle="1" w:styleId="26">
    <w:name w:val="B1"/>
    <w:basedOn w:val="13"/>
    <w:link w:val="25"/>
    <w:qFormat/>
    <w:uiPriority w:val="0"/>
    <w:pPr>
      <w:overflowPunct w:val="0"/>
      <w:autoSpaceDE w:val="0"/>
      <w:autoSpaceDN w:val="0"/>
      <w:spacing w:after="180"/>
    </w:pPr>
    <w:rPr>
      <w:rFonts w:hint="eastAsia" w:ascii="Times New Roman" w:hAnsi="Times New Roman"/>
      <w:szCs w:val="20"/>
      <w:lang w:eastAsia="zh-CN"/>
    </w:rPr>
  </w:style>
  <w:style w:type="paragraph" w:customStyle="1" w:styleId="27">
    <w:name w:val="msolistparagraph"/>
    <w:basedOn w:val="1"/>
    <w:qFormat/>
    <w:uiPriority w:val="0"/>
    <w:pPr>
      <w:ind w:left="720"/>
    </w:pPr>
    <w:rPr>
      <w:rFonts w:ascii="Calibri" w:hAnsi="Calibri" w:eastAsia="宋体"/>
      <w:sz w:val="22"/>
      <w:szCs w:val="22"/>
      <w:lang w:eastAsia="zh-CN"/>
    </w:rPr>
  </w:style>
  <w:style w:type="paragraph" w:customStyle="1" w:styleId="28">
    <w:name w:val="B2"/>
    <w:basedOn w:val="1"/>
    <w:link w:val="30"/>
    <w:uiPriority w:val="0"/>
    <w:pPr>
      <w:spacing w:after="180"/>
      <w:ind w:left="851" w:hanging="284"/>
    </w:pPr>
    <w:rPr>
      <w:rFonts w:ascii="Times New Roman" w:hAnsi="Times New Roman" w:eastAsia="Malgun Gothic"/>
      <w:szCs w:val="20"/>
      <w:lang w:val="en-GB"/>
    </w:rPr>
  </w:style>
  <w:style w:type="character" w:customStyle="1" w:styleId="29">
    <w:name w:val="B1 Char"/>
    <w:uiPriority w:val="0"/>
    <w:rPr>
      <w:lang w:eastAsia="en-US"/>
    </w:rPr>
  </w:style>
  <w:style w:type="character" w:customStyle="1" w:styleId="30">
    <w:name w:val="B2 Char"/>
    <w:link w:val="28"/>
    <w:uiPriority w:val="0"/>
    <w:rPr>
      <w:rFonts w:ascii="Times New Roman" w:hAnsi="Times New Roman" w:eastAsia="Malgun Gothic"/>
      <w:lang w:val="en-GB" w:eastAsia="en-US"/>
    </w:rPr>
  </w:style>
  <w:style w:type="paragraph" w:styleId="31">
    <w:name w:val="List Paragraph"/>
    <w:basedOn w:val="1"/>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2">
    <w:name w:val="TAL Car"/>
    <w:link w:val="20"/>
    <w:qFormat/>
    <w:uiPriority w:val="0"/>
    <w:rPr>
      <w:rFonts w:ascii="Arial" w:hAnsi="Arial" w:eastAsia="Times New Roman"/>
      <w:sz w:val="18"/>
      <w:lang w:val="en-GB" w:eastAsia="en-US"/>
    </w:rPr>
  </w:style>
  <w:style w:type="character" w:customStyle="1" w:styleId="33">
    <w:name w:val="TAH Car"/>
    <w:link w:val="18"/>
    <w:qFormat/>
    <w:locked/>
    <w:uiPriority w:val="0"/>
    <w:rPr>
      <w:rFonts w:ascii="Arial" w:hAnsi="Arial" w:eastAsia="Times New Roman"/>
      <w:b/>
      <w:sz w:val="18"/>
      <w:lang w:val="en-GB" w:eastAsia="en-GB"/>
    </w:rPr>
  </w:style>
  <w:style w:type="character" w:customStyle="1" w:styleId="34">
    <w:name w:val="TAC Char"/>
    <w:link w:val="19"/>
    <w:locked/>
    <w:uiPriority w:val="0"/>
    <w:rPr>
      <w:rFonts w:ascii="Arial" w:hAnsi="Arial" w:eastAsia="Times New Roman"/>
      <w:sz w:val="18"/>
      <w:lang w:val="en-GB" w:eastAsia="en-GB"/>
    </w:rPr>
  </w:style>
  <w:style w:type="character" w:customStyle="1" w:styleId="35">
    <w:name w:val="正文文本 字符"/>
    <w:basedOn w:val="14"/>
    <w:link w:val="9"/>
    <w:qFormat/>
    <w:uiPriority w:val="0"/>
    <w:rPr>
      <w:szCs w:val="24"/>
      <w:lang w:eastAsia="en-US"/>
    </w:rPr>
  </w:style>
  <w:style w:type="character" w:customStyle="1" w:styleId="36">
    <w:name w:val="页脚 字符"/>
    <w:basedOn w:val="14"/>
    <w:link w:val="11"/>
    <w:uiPriority w:val="0"/>
    <w:rPr>
      <w:rFonts w:eastAsia="Times New Roman"/>
      <w:sz w:val="18"/>
      <w:szCs w:val="18"/>
      <w:lang w:eastAsia="en-US"/>
    </w:rPr>
  </w:style>
  <w:style w:type="paragraph" w:customStyle="1" w:styleId="37">
    <w:name w:val="TH"/>
    <w:basedOn w:val="1"/>
    <w:link w:val="38"/>
    <w:qFormat/>
    <w:uiPriority w:val="0"/>
    <w:pPr>
      <w:keepNext/>
      <w:keepLines/>
      <w:spacing w:before="60" w:after="180"/>
      <w:jc w:val="center"/>
    </w:pPr>
    <w:rPr>
      <w:rFonts w:ascii="Arial" w:hAnsi="Arial" w:eastAsia="Malgun Gothic"/>
      <w:b/>
      <w:szCs w:val="20"/>
      <w:lang w:val="en-GB"/>
    </w:rPr>
  </w:style>
  <w:style w:type="character" w:customStyle="1" w:styleId="38">
    <w:name w:val="TH Char"/>
    <w:link w:val="37"/>
    <w:qFormat/>
    <w:uiPriority w:val="0"/>
    <w:rPr>
      <w:rFonts w:ascii="Arial" w:hAnsi="Arial" w:eastAsia="Malgun Gothic"/>
      <w:b/>
      <w:lang w:val="en-GB" w:eastAsia="en-US"/>
    </w:rPr>
  </w:style>
  <w:style w:type="paragraph" w:customStyle="1" w:styleId="39">
    <w:name w:val="TF"/>
    <w:basedOn w:val="37"/>
    <w:link w:val="40"/>
    <w:qFormat/>
    <w:uiPriority w:val="0"/>
    <w:pPr>
      <w:keepNext w:val="0"/>
      <w:overflowPunct w:val="0"/>
      <w:autoSpaceDE w:val="0"/>
      <w:autoSpaceDN w:val="0"/>
      <w:adjustRightInd w:val="0"/>
      <w:spacing w:before="0" w:after="240"/>
      <w:textAlignment w:val="baseline"/>
    </w:pPr>
    <w:rPr>
      <w:rFonts w:eastAsia="Times New Roman"/>
      <w:lang w:eastAsia="ja-JP"/>
    </w:rPr>
  </w:style>
  <w:style w:type="character" w:customStyle="1" w:styleId="40">
    <w:name w:val="TF Char"/>
    <w:link w:val="39"/>
    <w:qFormat/>
    <w:uiPriority w:val="0"/>
    <w:rPr>
      <w:rFonts w:ascii="Arial" w:hAnsi="Arial" w:eastAsia="Times New Roman"/>
      <w:b/>
      <w:lang w:val="en-GB" w:eastAsia="ja-JP"/>
    </w:rPr>
  </w:style>
  <w:style w:type="character" w:customStyle="1" w:styleId="41">
    <w:name w:val="B1 Zchn"/>
    <w:qFormat/>
    <w:uiPriority w:val="0"/>
    <w:rPr>
      <w:rFonts w:eastAsia="Times New Roman"/>
    </w:rPr>
  </w:style>
  <w:style w:type="character" w:customStyle="1" w:styleId="42">
    <w:name w:val="ZGSM"/>
    <w:qFormat/>
    <w:uiPriority w:val="0"/>
  </w:style>
  <w:style w:type="character" w:customStyle="1" w:styleId="43">
    <w:name w:val="标题 2 字符"/>
    <w:link w:val="3"/>
    <w:qFormat/>
    <w:uiPriority w:val="0"/>
    <w:rPr>
      <w:rFonts w:ascii="Arial" w:hAnsi="Arial" w:eastAsia="宋体" w:cs="Arial"/>
      <w:b/>
      <w:bCs/>
      <w:kern w:val="32"/>
      <w:sz w:val="32"/>
      <w:szCs w:val="32"/>
      <w:lang w:val="zh-CN"/>
    </w:rPr>
  </w:style>
  <w:style w:type="paragraph" w:customStyle="1" w:styleId="44">
    <w:name w:val="NO"/>
    <w:basedOn w:val="1"/>
    <w:link w:val="45"/>
    <w:qFormat/>
    <w:uiPriority w:val="0"/>
    <w:pPr>
      <w:keepLines/>
      <w:spacing w:after="180"/>
      <w:ind w:left="1135" w:hanging="851"/>
    </w:pPr>
    <w:rPr>
      <w:rFonts w:ascii="Times New Roman" w:hAnsi="Times New Roman" w:eastAsiaTheme="minorEastAsia"/>
      <w:szCs w:val="20"/>
      <w:lang w:val="en-GB"/>
    </w:rPr>
  </w:style>
  <w:style w:type="character" w:customStyle="1" w:styleId="45">
    <w:name w:val="NO Zchn"/>
    <w:link w:val="44"/>
    <w:qFormat/>
    <w:uiPriority w:val="0"/>
    <w:rPr>
      <w:rFonts w:ascii="Times New Roman" w:hAnsi="Times New Roman" w:eastAsiaTheme="minorEastAsia"/>
      <w:lang w:val="en-GB" w:eastAsia="en-US"/>
    </w:rPr>
  </w:style>
  <w:style w:type="paragraph" w:customStyle="1" w:styleId="46">
    <w:name w:val="Normal1"/>
    <w:qFormat/>
    <w:uiPriority w:val="0"/>
    <w:pPr>
      <w:jc w:val="both"/>
    </w:pPr>
    <w:rPr>
      <w:rFonts w:ascii="CG Times (WN)" w:hAnsi="CG Times (WN)" w:eastAsia="宋体" w:cs="宋体"/>
      <w:kern w:val="2"/>
      <w:sz w:val="21"/>
      <w:szCs w:val="21"/>
      <w:lang w:val="en-US" w:eastAsia="zh-CN" w:bidi="ar-SA"/>
    </w:rPr>
  </w:style>
  <w:style w:type="character" w:customStyle="1" w:styleId="47">
    <w:name w:val="批注文字 字符"/>
    <w:basedOn w:val="14"/>
    <w:link w:val="7"/>
    <w:semiHidden/>
    <w:qFormat/>
    <w:uiPriority w:val="0"/>
    <w:rPr>
      <w:rFonts w:eastAsia="Times New Roman"/>
      <w:szCs w:val="24"/>
      <w:lang w:eastAsia="en-US"/>
    </w:rPr>
  </w:style>
  <w:style w:type="character" w:customStyle="1" w:styleId="48">
    <w:name w:val="批注主题 字符"/>
    <w:basedOn w:val="47"/>
    <w:link w:val="6"/>
    <w:qFormat/>
    <w:uiPriority w:val="0"/>
    <w:rPr>
      <w:rFonts w:eastAsia="Times New Roman"/>
      <w:b/>
      <w:bCs/>
      <w:szCs w:val="24"/>
      <w:lang w:eastAsia="en-US"/>
    </w:rPr>
  </w:style>
  <w:style w:type="character" w:customStyle="1" w:styleId="49">
    <w:name w:val="批注框文本 字符"/>
    <w:basedOn w:val="14"/>
    <w:link w:val="10"/>
    <w:semiHidden/>
    <w:qFormat/>
    <w:uiPriority w:val="0"/>
    <w:rPr>
      <w:rFonts w:ascii="Segoe UI" w:hAnsi="Segoe UI" w:eastAsia="Times New Roman" w:cs="Segoe UI"/>
      <w:sz w:val="18"/>
      <w:szCs w:val="18"/>
      <w:lang w:eastAsia="en-U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EA0FDE0-138C-4099-8A2D-52A7081515A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808</Words>
  <Characters>4608</Characters>
  <Lines>38</Lines>
  <Paragraphs>10</Paragraphs>
  <TotalTime>1</TotalTime>
  <ScaleCrop>false</ScaleCrop>
  <LinksUpToDate>false</LinksUpToDate>
  <CharactersWithSpaces>5406</CharactersWithSpaces>
  <Application>WPS Office_11.1.0.8002_F1E327BC-269C-435d-A152-05C5408002CA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2020-07-06T09:35:00Z</dcterms:created>
  <dc:creator>Administrator</dc:creator>
  <cp:lastModifiedBy>vivo</cp:lastModifiedBy>
  <dcterms:modified xsi:type="dcterms:W3CDTF">2020-08-07T05:32:24Z</dcterms:modified>
  <cp:revision>230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2052-11.1.0.8002</vt:lpwstr>
  </property>
</Properties>
</file>